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BD" w:rsidRPr="00F265A2" w:rsidRDefault="003D48CB" w:rsidP="00A617E4">
      <w:pPr>
        <w:rPr>
          <w:rFonts w:asciiTheme="minorHAnsi" w:hAnsiTheme="minorHAnsi"/>
        </w:rPr>
      </w:pPr>
      <w:r w:rsidRPr="003D48CB">
        <w:rPr>
          <w:rFonts w:asciiTheme="minorHAnsi" w:hAnsiTheme="minorHAnsi"/>
          <w:noProof/>
        </w:rPr>
        <w:drawing>
          <wp:inline distT="0" distB="0" distL="0" distR="0">
            <wp:extent cx="2000250" cy="504825"/>
            <wp:effectExtent l="19050" t="0" r="0" b="0"/>
            <wp:docPr id="3" name="Picture 3" descr="cid:image002.jpg@01C9B9CF.1582EB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9B9CF.1582EB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85" w:rsidRPr="00DA1EB4" w:rsidRDefault="00741685" w:rsidP="0074168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UTVA High School </w:t>
      </w:r>
      <w:r w:rsidRPr="00DA1EB4">
        <w:rPr>
          <w:rFonts w:asciiTheme="minorHAnsi" w:hAnsiTheme="minorHAnsi"/>
          <w:b/>
          <w:sz w:val="28"/>
          <w:szCs w:val="28"/>
          <w:u w:val="single"/>
        </w:rPr>
        <w:t>Performance Pay Plan</w:t>
      </w:r>
    </w:p>
    <w:p w:rsidR="00AB743F" w:rsidRPr="00DA1EB4" w:rsidRDefault="00AB743F" w:rsidP="00E57A4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A2300" w:rsidRPr="00C00FB2" w:rsidRDefault="00CA2300" w:rsidP="00C00FB2">
      <w:pPr>
        <w:jc w:val="center"/>
        <w:rPr>
          <w:rFonts w:asciiTheme="minorHAnsi" w:hAnsiTheme="minorHAnsi"/>
        </w:rPr>
      </w:pPr>
      <w:r w:rsidRPr="00C00FB2">
        <w:rPr>
          <w:rFonts w:asciiTheme="minorHAnsi" w:hAnsiTheme="minorHAnsi"/>
        </w:rPr>
        <w:t>The overall goal of the performance p</w:t>
      </w:r>
      <w:r w:rsidR="00D06DD8">
        <w:rPr>
          <w:rFonts w:asciiTheme="minorHAnsi" w:hAnsiTheme="minorHAnsi"/>
        </w:rPr>
        <w:t xml:space="preserve">ay </w:t>
      </w:r>
      <w:r w:rsidRPr="00C00FB2">
        <w:rPr>
          <w:rFonts w:asciiTheme="minorHAnsi" w:hAnsiTheme="minorHAnsi"/>
        </w:rPr>
        <w:t>is</w:t>
      </w:r>
      <w:r w:rsidR="00DA1EB4" w:rsidRPr="00C00FB2">
        <w:rPr>
          <w:rFonts w:asciiTheme="minorHAnsi" w:hAnsiTheme="minorHAnsi"/>
        </w:rPr>
        <w:t xml:space="preserve"> to create financial </w:t>
      </w:r>
      <w:r w:rsidR="00E7565E" w:rsidRPr="00C00FB2">
        <w:rPr>
          <w:rFonts w:asciiTheme="minorHAnsi" w:hAnsiTheme="minorHAnsi"/>
        </w:rPr>
        <w:t xml:space="preserve">incentives </w:t>
      </w:r>
      <w:r w:rsidRPr="00C00FB2">
        <w:rPr>
          <w:rFonts w:asciiTheme="minorHAnsi" w:hAnsiTheme="minorHAnsi"/>
        </w:rPr>
        <w:t xml:space="preserve">and rewards for teachers to contribute to increased </w:t>
      </w:r>
      <w:r w:rsidR="008C31A9" w:rsidRPr="00C00FB2">
        <w:rPr>
          <w:rFonts w:asciiTheme="minorHAnsi" w:hAnsiTheme="minorHAnsi"/>
        </w:rPr>
        <w:t xml:space="preserve">student retention and </w:t>
      </w:r>
      <w:r w:rsidRPr="00C00FB2">
        <w:rPr>
          <w:rFonts w:asciiTheme="minorHAnsi" w:hAnsiTheme="minorHAnsi"/>
        </w:rPr>
        <w:t xml:space="preserve">student </w:t>
      </w:r>
      <w:r w:rsidR="00D06DD8">
        <w:rPr>
          <w:rFonts w:asciiTheme="minorHAnsi" w:hAnsiTheme="minorHAnsi"/>
        </w:rPr>
        <w:t>achievement within the Utah</w:t>
      </w:r>
      <w:r w:rsidRPr="00C00FB2">
        <w:rPr>
          <w:rFonts w:asciiTheme="minorHAnsi" w:hAnsiTheme="minorHAnsi"/>
        </w:rPr>
        <w:t xml:space="preserve"> Virtual Academy.</w:t>
      </w:r>
    </w:p>
    <w:p w:rsidR="000D1F29" w:rsidRPr="00DA1EB4" w:rsidRDefault="000D1F29" w:rsidP="00CA2300">
      <w:pPr>
        <w:ind w:left="360"/>
        <w:rPr>
          <w:rFonts w:asciiTheme="minorHAnsi" w:hAnsiTheme="minorHAnsi"/>
          <w:b/>
        </w:rPr>
      </w:pPr>
    </w:p>
    <w:p w:rsidR="00E94531" w:rsidRDefault="000D1F29" w:rsidP="00961C55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DA1EB4">
        <w:rPr>
          <w:rFonts w:asciiTheme="minorHAnsi" w:hAnsiTheme="minorHAnsi"/>
          <w:b/>
          <w:i/>
          <w:sz w:val="20"/>
          <w:szCs w:val="20"/>
        </w:rPr>
        <w:t>*Please Note:  Performance Pay will be taxed as a bonus.*</w:t>
      </w:r>
    </w:p>
    <w:p w:rsidR="00E94531" w:rsidRDefault="00E94531" w:rsidP="000D1F29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E94531" w:rsidRDefault="00E94531" w:rsidP="000D1F29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9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1962"/>
        <w:gridCol w:w="2526"/>
      </w:tblGrid>
      <w:tr w:rsidR="00F731A0" w:rsidTr="00F731A0">
        <w:trPr>
          <w:trHeight w:val="778"/>
          <w:jc w:val="center"/>
        </w:trPr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A0" w:rsidRDefault="00F731A0" w:rsidP="00AA3FE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Name of Performance Pay Component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A0" w:rsidRDefault="00F731A0" w:rsidP="00AA3FE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Percent of Performance Pay Award potential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A0" w:rsidRDefault="00F731A0" w:rsidP="00AA3FE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Date Payable</w:t>
            </w:r>
          </w:p>
        </w:tc>
      </w:tr>
      <w:tr w:rsidR="00F731A0" w:rsidTr="00F731A0">
        <w:trPr>
          <w:trHeight w:val="264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A0" w:rsidRDefault="00F731A0" w:rsidP="00AA3FE0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1. Student Retention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1A0" w:rsidRDefault="008F486C" w:rsidP="00AA3FE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1A0" w:rsidRDefault="00F731A0" w:rsidP="00AA3FE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F731A0" w:rsidTr="00F731A0">
        <w:trPr>
          <w:trHeight w:val="249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A0" w:rsidRPr="00D53D1D" w:rsidRDefault="00917BCA" w:rsidP="00AA3FE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53D1D">
              <w:t>K12</w:t>
            </w:r>
            <w:r w:rsidR="00F731A0" w:rsidRPr="00D53D1D">
              <w:t xml:space="preserve"> Parent Satisfaction Survey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A0" w:rsidRPr="00D53D1D" w:rsidRDefault="002C4ED9" w:rsidP="00AA3FE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A0" w:rsidRPr="00D53D1D" w:rsidRDefault="00917BCA" w:rsidP="00AA3FE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53D1D">
              <w:t>July 201</w:t>
            </w:r>
            <w:r w:rsidR="008F43DC">
              <w:t>4</w:t>
            </w:r>
          </w:p>
        </w:tc>
      </w:tr>
      <w:tr w:rsidR="00383CFB" w:rsidTr="00551EED">
        <w:trPr>
          <w:trHeight w:val="255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E16CB3">
            <w:pPr>
              <w:jc w:val="right"/>
            </w:pPr>
            <w:r w:rsidRPr="00D53D1D">
              <w:t xml:space="preserve"> All School Retention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2C4ED9" w:rsidP="00E16C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EED" w:rsidRPr="00D53D1D" w:rsidRDefault="00383CFB" w:rsidP="00E16CB3">
            <w:pPr>
              <w:jc w:val="center"/>
            </w:pPr>
            <w:r w:rsidRPr="00D53D1D">
              <w:t>July 201</w:t>
            </w:r>
            <w:r w:rsidR="008F43DC">
              <w:t>4</w:t>
            </w:r>
          </w:p>
        </w:tc>
      </w:tr>
      <w:tr w:rsidR="00551EED" w:rsidTr="00551EED">
        <w:trPr>
          <w:trHeight w:val="285"/>
          <w:jc w:val="center"/>
        </w:trPr>
        <w:tc>
          <w:tcPr>
            <w:tcW w:w="4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EED" w:rsidRPr="00D53D1D" w:rsidRDefault="008F486C" w:rsidP="00E16CB3">
            <w:pPr>
              <w:jc w:val="right"/>
            </w:pPr>
            <w:r>
              <w:t>All School</w:t>
            </w:r>
            <w:r w:rsidR="00551EED" w:rsidRPr="00D53D1D">
              <w:t xml:space="preserve"> Re-registration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EED" w:rsidRPr="00D53D1D" w:rsidRDefault="00551EED" w:rsidP="00E16C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53D1D">
              <w:rPr>
                <w:rFonts w:ascii="Calibri" w:eastAsia="Calibri" w:hAnsi="Calibri"/>
                <w:sz w:val="22"/>
                <w:szCs w:val="22"/>
              </w:rPr>
              <w:t>10%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EED" w:rsidRPr="00D53D1D" w:rsidRDefault="00B84575" w:rsidP="00E16CB3">
            <w:pPr>
              <w:jc w:val="center"/>
            </w:pPr>
            <w:r w:rsidRPr="00D53D1D">
              <w:t>September</w:t>
            </w:r>
            <w:r w:rsidR="00551EED" w:rsidRPr="00D53D1D">
              <w:t xml:space="preserve"> 201</w:t>
            </w:r>
            <w:r w:rsidR="008F43DC">
              <w:t>4</w:t>
            </w:r>
          </w:p>
        </w:tc>
      </w:tr>
      <w:tr w:rsidR="00383CFB" w:rsidTr="00F731A0">
        <w:trPr>
          <w:trHeight w:val="249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E16CB3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D53D1D">
              <w:rPr>
                <w:b/>
                <w:bCs/>
              </w:rPr>
              <w:t>2. Increasing Student Achievement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7971AB" w:rsidP="00E16CB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7</w:t>
            </w:r>
            <w:r w:rsidR="008F43DC">
              <w:rPr>
                <w:rFonts w:ascii="Calibri" w:eastAsia="Calibri" w:hAnsi="Calibri"/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E16CB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383CFB" w:rsidTr="00F731A0">
        <w:trPr>
          <w:trHeight w:val="264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141F2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53D1D">
              <w:t xml:space="preserve">                       </w:t>
            </w:r>
            <w:r w:rsidR="00141F22">
              <w:t>Block 1</w:t>
            </w:r>
            <w:r w:rsidRPr="00D53D1D">
              <w:t xml:space="preserve"> </w:t>
            </w:r>
            <w:r w:rsidR="008D4478">
              <w:t>Passing Rate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CFB" w:rsidRPr="00D53D1D" w:rsidRDefault="00141F22" w:rsidP="00E16C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="008F486C">
              <w:rPr>
                <w:rFonts w:ascii="Calibri" w:eastAsia="Calibri" w:hAnsi="Calibri"/>
                <w:sz w:val="22"/>
                <w:szCs w:val="22"/>
              </w:rPr>
              <w:t>0%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CFB" w:rsidRPr="00D53D1D" w:rsidRDefault="00383CFB" w:rsidP="00E16C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53D1D">
              <w:t>July 201</w:t>
            </w:r>
            <w:r w:rsidR="008F43DC">
              <w:t>4</w:t>
            </w:r>
          </w:p>
        </w:tc>
      </w:tr>
      <w:tr w:rsidR="00141F22" w:rsidTr="00F731A0">
        <w:trPr>
          <w:trHeight w:val="249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F22" w:rsidRDefault="00141F22" w:rsidP="00E16CB3">
            <w:pPr>
              <w:jc w:val="right"/>
            </w:pPr>
            <w:r>
              <w:t>Block 2 Passing Rate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F22" w:rsidRDefault="00141F22" w:rsidP="00E16C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F22" w:rsidRDefault="00141F22" w:rsidP="00E16CB3">
            <w:pPr>
              <w:jc w:val="center"/>
            </w:pPr>
          </w:p>
        </w:tc>
      </w:tr>
      <w:tr w:rsidR="00383CFB" w:rsidTr="00F731A0">
        <w:trPr>
          <w:trHeight w:val="249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8D4478" w:rsidP="00E16CB3">
            <w:pPr>
              <w:jc w:val="right"/>
            </w:pPr>
            <w:r>
              <w:t>Block 3 Passing Rate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141F22" w:rsidP="00E16C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="008F486C">
              <w:rPr>
                <w:rFonts w:ascii="Calibri" w:eastAsia="Calibri" w:hAnsi="Calibri"/>
                <w:sz w:val="22"/>
                <w:szCs w:val="22"/>
              </w:rPr>
              <w:t>0%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8F43DC" w:rsidP="00E16CB3">
            <w:pPr>
              <w:jc w:val="center"/>
            </w:pPr>
            <w:r>
              <w:t>July 201</w:t>
            </w:r>
            <w:r w:rsidR="00741685">
              <w:t>4</w:t>
            </w:r>
          </w:p>
        </w:tc>
      </w:tr>
      <w:tr w:rsidR="008D4478" w:rsidTr="00F731A0">
        <w:trPr>
          <w:trHeight w:val="264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78" w:rsidRPr="00D53D1D" w:rsidRDefault="008D4478" w:rsidP="008F486C">
            <w:pPr>
              <w:jc w:val="right"/>
            </w:pPr>
            <w:r>
              <w:t>Block 4 Passing Rate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78" w:rsidRPr="00D53D1D" w:rsidRDefault="00141F22" w:rsidP="00E16C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="008D4478">
              <w:rPr>
                <w:rFonts w:ascii="Calibri" w:eastAsia="Calibri" w:hAnsi="Calibri"/>
                <w:sz w:val="22"/>
                <w:szCs w:val="22"/>
              </w:rPr>
              <w:t>0%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78" w:rsidRPr="00D53D1D" w:rsidRDefault="00741685" w:rsidP="008F43DC">
            <w:pPr>
              <w:jc w:val="center"/>
            </w:pPr>
            <w:r>
              <w:t>July 2014</w:t>
            </w:r>
          </w:p>
        </w:tc>
      </w:tr>
      <w:tr w:rsidR="00383CFB" w:rsidTr="00F731A0">
        <w:trPr>
          <w:trHeight w:val="264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8F486C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53D1D">
              <w:t>                     Semester 1 Scantron PS Completion Rate through Nov 30th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E16C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383CFB" w:rsidRPr="00D53D1D" w:rsidRDefault="00741685" w:rsidP="00E16C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="00383CFB" w:rsidRPr="00D53D1D">
              <w:rPr>
                <w:rFonts w:ascii="Calibri" w:eastAsia="Calibri" w:hAnsi="Calibri"/>
                <w:sz w:val="22"/>
                <w:szCs w:val="22"/>
              </w:rPr>
              <w:t>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8F43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53D1D">
              <w:t>December 201</w:t>
            </w:r>
            <w:r w:rsidR="008F43DC">
              <w:t>3</w:t>
            </w:r>
          </w:p>
        </w:tc>
      </w:tr>
      <w:tr w:rsidR="00383CFB" w:rsidTr="00F731A0">
        <w:trPr>
          <w:trHeight w:val="264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8F486C">
            <w:pPr>
              <w:jc w:val="right"/>
            </w:pPr>
            <w:r w:rsidRPr="00D53D1D">
              <w:t xml:space="preserve">Semester 2 </w:t>
            </w:r>
            <w:proofErr w:type="spellStart"/>
            <w:r w:rsidRPr="00D53D1D">
              <w:t>Scantron</w:t>
            </w:r>
            <w:proofErr w:type="spellEnd"/>
            <w:r w:rsidRPr="00D53D1D">
              <w:t xml:space="preserve"> PS Completion Rate EOY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E16C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53D1D">
              <w:rPr>
                <w:rFonts w:ascii="Calibri" w:eastAsia="Calibri" w:hAnsi="Calibri"/>
                <w:sz w:val="22"/>
                <w:szCs w:val="22"/>
              </w:rPr>
              <w:t>5%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E16CB3">
            <w:pPr>
              <w:jc w:val="center"/>
            </w:pPr>
            <w:r w:rsidRPr="00D53D1D">
              <w:t>July 201</w:t>
            </w:r>
            <w:r w:rsidR="008F43DC">
              <w:t>4</w:t>
            </w:r>
          </w:p>
        </w:tc>
      </w:tr>
      <w:tr w:rsidR="00383CFB" w:rsidTr="00F731A0">
        <w:trPr>
          <w:trHeight w:val="264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213198" w:rsidP="006E517E">
            <w:pPr>
              <w:jc w:val="right"/>
            </w:pPr>
            <w:r w:rsidRPr="00D53D1D">
              <w:t>UPASS Progress Score</w:t>
            </w:r>
            <w:r w:rsidR="00A17917"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7971AB" w:rsidP="00AA3FE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  <w:r w:rsidR="00383CFB" w:rsidRPr="00D53D1D">
              <w:rPr>
                <w:rFonts w:ascii="Calibri" w:eastAsia="Calibri" w:hAnsi="Calibri"/>
                <w:sz w:val="22"/>
                <w:szCs w:val="22"/>
              </w:rPr>
              <w:t>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8F43DC">
            <w:pPr>
              <w:jc w:val="center"/>
            </w:pPr>
            <w:r w:rsidRPr="00D53D1D">
              <w:t>September 201</w:t>
            </w:r>
            <w:r w:rsidR="008F43DC">
              <w:t>4</w:t>
            </w:r>
          </w:p>
        </w:tc>
      </w:tr>
      <w:tr w:rsidR="00AC0D48" w:rsidTr="00F731A0">
        <w:trPr>
          <w:trHeight w:val="264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48" w:rsidRPr="00D53D1D" w:rsidRDefault="00AC0D48" w:rsidP="006E517E">
            <w:pPr>
              <w:jc w:val="right"/>
            </w:pPr>
            <w:r>
              <w:t>CRT Participation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48" w:rsidRDefault="007971AB" w:rsidP="00AA3FE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  <w:r w:rsidR="00AC0D48">
              <w:rPr>
                <w:rFonts w:ascii="Calibri" w:eastAsia="Calibri" w:hAnsi="Calibri"/>
                <w:sz w:val="22"/>
                <w:szCs w:val="22"/>
              </w:rPr>
              <w:t>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48" w:rsidRPr="00D53D1D" w:rsidRDefault="00AC0D48" w:rsidP="008F43DC">
            <w:pPr>
              <w:jc w:val="center"/>
            </w:pPr>
            <w:r>
              <w:t>July 2014</w:t>
            </w:r>
          </w:p>
        </w:tc>
      </w:tr>
      <w:tr w:rsidR="00383CFB" w:rsidTr="00F731A0">
        <w:trPr>
          <w:trHeight w:val="264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AA3FE0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D53D1D">
              <w:rPr>
                <w:b/>
                <w:bCs/>
              </w:rPr>
              <w:t>3. Professional Development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8F43DC" w:rsidP="00AA3FE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10%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AA3FE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383CFB" w:rsidTr="00F731A0">
        <w:trPr>
          <w:trHeight w:val="249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B" w:rsidRPr="00D53D1D" w:rsidRDefault="00383CFB" w:rsidP="00AA3FE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53D1D">
              <w:rPr>
                <w:rFonts w:ascii="Calibri" w:eastAsia="Calibri" w:hAnsi="Calibri"/>
                <w:sz w:val="22"/>
                <w:szCs w:val="22"/>
              </w:rPr>
              <w:t>Continuing Education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CFB" w:rsidRPr="00D53D1D" w:rsidRDefault="002C4ED9" w:rsidP="00AA3FE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CFB" w:rsidRPr="00D53D1D" w:rsidRDefault="00383CFB" w:rsidP="00AA3FE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53D1D">
              <w:t>December 201</w:t>
            </w:r>
            <w:r w:rsidR="008F43DC">
              <w:t>3</w:t>
            </w:r>
          </w:p>
        </w:tc>
      </w:tr>
      <w:tr w:rsidR="00DE46EB" w:rsidTr="00F731A0">
        <w:trPr>
          <w:trHeight w:val="249"/>
          <w:jc w:val="center"/>
        </w:trPr>
        <w:tc>
          <w:tcPr>
            <w:tcW w:w="4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EB" w:rsidRPr="00A35DC2" w:rsidRDefault="00DE46EB" w:rsidP="00DF6FD5">
            <w:pPr>
              <w:jc w:val="right"/>
              <w:rPr>
                <w:rFonts w:ascii="Calibri" w:eastAsia="Calibri" w:hAnsi="Calibri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Professional growth plan – Success on goals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EB" w:rsidRPr="007D5026" w:rsidRDefault="00DE46EB" w:rsidP="00DF6F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D5026">
              <w:rPr>
                <w:rFonts w:ascii="Calibri" w:eastAsia="Calibri" w:hAnsi="Calibri"/>
                <w:sz w:val="22"/>
                <w:szCs w:val="22"/>
              </w:rPr>
              <w:t>5%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EB" w:rsidRDefault="00DE46EB" w:rsidP="00DF6F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t>July 2014</w:t>
            </w:r>
          </w:p>
        </w:tc>
      </w:tr>
    </w:tbl>
    <w:p w:rsidR="00F265A2" w:rsidRDefault="00F265A2" w:rsidP="00522801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D59A5" w:rsidRPr="00E54448" w:rsidRDefault="00FD59A5" w:rsidP="00FD59A5">
      <w:pPr>
        <w:rPr>
          <w:rFonts w:asciiTheme="minorHAnsi" w:hAnsiTheme="minorHAnsi"/>
          <w:b/>
        </w:rPr>
      </w:pPr>
      <w:r w:rsidRPr="004F4631">
        <w:rPr>
          <w:rFonts w:asciiTheme="minorHAnsi" w:hAnsiTheme="minorHAnsi"/>
          <w:b/>
          <w:sz w:val="28"/>
          <w:szCs w:val="28"/>
        </w:rPr>
        <w:t xml:space="preserve">1. </w:t>
      </w:r>
      <w:r w:rsidRPr="00F265A2">
        <w:rPr>
          <w:rFonts w:asciiTheme="minorHAnsi" w:hAnsiTheme="minorHAnsi"/>
          <w:b/>
          <w:sz w:val="28"/>
          <w:szCs w:val="28"/>
          <w:u w:val="single"/>
        </w:rPr>
        <w:t>Student Retention</w:t>
      </w:r>
      <w:r w:rsidRPr="00F265A2">
        <w:rPr>
          <w:rFonts w:asciiTheme="minorHAnsi" w:hAnsiTheme="minorHAnsi"/>
          <w:b/>
          <w:sz w:val="28"/>
          <w:szCs w:val="28"/>
        </w:rPr>
        <w:t xml:space="preserve"> </w:t>
      </w:r>
      <w:r w:rsidRPr="00F265A2">
        <w:rPr>
          <w:rFonts w:asciiTheme="minorHAnsi" w:hAnsiTheme="minorHAnsi"/>
          <w:sz w:val="28"/>
          <w:szCs w:val="28"/>
        </w:rPr>
        <w:t>-</w:t>
      </w:r>
      <w:r w:rsidR="002D3FA8">
        <w:rPr>
          <w:rFonts w:asciiTheme="minorHAnsi" w:hAnsiTheme="minorHAnsi"/>
          <w:sz w:val="28"/>
          <w:szCs w:val="28"/>
        </w:rPr>
        <w:t xml:space="preserve"> </w:t>
      </w:r>
      <w:r w:rsidR="002D3FA8">
        <w:rPr>
          <w:rFonts w:asciiTheme="minorHAnsi" w:hAnsiTheme="minorHAnsi"/>
          <w:b/>
          <w:i/>
        </w:rPr>
        <w:t>2</w:t>
      </w:r>
      <w:r w:rsidRPr="00E54448">
        <w:rPr>
          <w:rFonts w:asciiTheme="minorHAnsi" w:hAnsiTheme="minorHAnsi"/>
          <w:b/>
          <w:i/>
        </w:rPr>
        <w:t>0% of Performance Pay Funds</w:t>
      </w:r>
    </w:p>
    <w:p w:rsidR="00FD59A5" w:rsidRPr="00E54448" w:rsidRDefault="00FD59A5" w:rsidP="00FD59A5">
      <w:pPr>
        <w:rPr>
          <w:rFonts w:asciiTheme="minorHAnsi" w:hAnsiTheme="minorHAnsi"/>
          <w:b/>
        </w:rPr>
      </w:pPr>
    </w:p>
    <w:p w:rsidR="00FD59A5" w:rsidRPr="00D53D1D" w:rsidRDefault="00FD59A5" w:rsidP="00FD59A5">
      <w:pPr>
        <w:pStyle w:val="ListParagraph"/>
        <w:numPr>
          <w:ilvl w:val="0"/>
          <w:numId w:val="6"/>
        </w:numPr>
        <w:rPr>
          <w:b/>
          <w:i/>
          <w:color w:val="FF0000"/>
        </w:rPr>
      </w:pPr>
      <w:r w:rsidRPr="00D53D1D">
        <w:rPr>
          <w:b/>
          <w:u w:val="single"/>
        </w:rPr>
        <w:t>Parent/Student Satisfaction Survey:</w:t>
      </w:r>
      <w:r w:rsidRPr="00D53D1D">
        <w:t xml:space="preserve"> (</w:t>
      </w:r>
      <w:r w:rsidR="002D3FA8" w:rsidRPr="004B226E">
        <w:rPr>
          <w:b/>
        </w:rPr>
        <w:t>Course</w:t>
      </w:r>
      <w:r w:rsidRPr="004B226E">
        <w:rPr>
          <w:b/>
        </w:rPr>
        <w:t xml:space="preserve"> Students</w:t>
      </w:r>
      <w:r w:rsidR="00917BCA" w:rsidRPr="00D53D1D">
        <w:t>) Teacher will improve their</w:t>
      </w:r>
      <w:r w:rsidRPr="00D53D1D">
        <w:t xml:space="preserve"> satisfactory </w:t>
      </w:r>
      <w:r w:rsidR="00917BCA" w:rsidRPr="00D53D1D">
        <w:t>rating on the K12 Parent Survey</w:t>
      </w:r>
      <w:r w:rsidRPr="00D53D1D">
        <w:t xml:space="preserve"> </w:t>
      </w:r>
      <w:r w:rsidR="00A17917">
        <w:rPr>
          <w:b/>
        </w:rPr>
        <w:t>(5</w:t>
      </w:r>
      <w:r w:rsidRPr="00D53D1D">
        <w:rPr>
          <w:b/>
        </w:rPr>
        <w:t>%)</w:t>
      </w:r>
      <w:r w:rsidRPr="00D53D1D">
        <w:rPr>
          <w:b/>
          <w:color w:val="FF0000"/>
        </w:rPr>
        <w:t xml:space="preserve"> </w:t>
      </w:r>
    </w:p>
    <w:p w:rsidR="00FD59A5" w:rsidRPr="00D53D1D" w:rsidRDefault="00FD59A5" w:rsidP="00FD59A5">
      <w:pPr>
        <w:pStyle w:val="ListParagraph"/>
        <w:rPr>
          <w:b/>
          <w:sz w:val="18"/>
          <w:szCs w:val="18"/>
        </w:rPr>
      </w:pPr>
    </w:p>
    <w:p w:rsidR="00FD59A5" w:rsidRPr="00D53D1D" w:rsidRDefault="00AC0D48" w:rsidP="00FD59A5">
      <w:pPr>
        <w:pStyle w:val="ListParagraph"/>
        <w:rPr>
          <w:b/>
        </w:rPr>
      </w:pPr>
      <w:r>
        <w:rPr>
          <w:b/>
        </w:rPr>
        <w:t>9– 12</w:t>
      </w:r>
      <w:r w:rsidR="00FD59A5" w:rsidRPr="00D53D1D">
        <w:rPr>
          <w:b/>
        </w:rPr>
        <w:t xml:space="preserve">: </w:t>
      </w:r>
    </w:p>
    <w:tbl>
      <w:tblPr>
        <w:tblW w:w="7920" w:type="dxa"/>
        <w:tblInd w:w="1098" w:type="dxa"/>
        <w:tblLook w:val="04A0" w:firstRow="1" w:lastRow="0" w:firstColumn="1" w:lastColumn="0" w:noHBand="0" w:noVBand="1"/>
      </w:tblPr>
      <w:tblGrid>
        <w:gridCol w:w="2106"/>
        <w:gridCol w:w="2250"/>
        <w:gridCol w:w="3564"/>
      </w:tblGrid>
      <w:tr w:rsidR="00383CFB" w:rsidRPr="00D53D1D" w:rsidTr="00E16CB3">
        <w:trPr>
          <w:trHeight w:val="30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83CFB" w:rsidRPr="00D53D1D" w:rsidRDefault="00383CFB" w:rsidP="00383CFB">
            <w:pPr>
              <w:tabs>
                <w:tab w:val="left" w:pos="761"/>
                <w:tab w:val="center" w:pos="3852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D53D1D">
              <w:rPr>
                <w:b/>
                <w:bCs/>
                <w:color w:val="000000"/>
                <w:sz w:val="22"/>
                <w:szCs w:val="22"/>
              </w:rPr>
              <w:tab/>
              <w:t>Thresholds for Bonus Payment: Satisfactory Rating Improvement</w:t>
            </w:r>
          </w:p>
        </w:tc>
      </w:tr>
      <w:tr w:rsidR="00383CFB" w:rsidRPr="00D53D1D" w:rsidTr="00E16CB3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FB" w:rsidRPr="00D53D1D" w:rsidRDefault="00383CFB" w:rsidP="00383C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  <w:r w:rsidR="000F4300" w:rsidRPr="00D53D1D">
              <w:rPr>
                <w:b/>
                <w:bCs/>
                <w:color w:val="000000"/>
                <w:sz w:val="22"/>
                <w:szCs w:val="22"/>
              </w:rPr>
              <w:t xml:space="preserve">improvement </w:t>
            </w:r>
            <w:r w:rsidRPr="00D53D1D">
              <w:rPr>
                <w:b/>
                <w:bCs/>
                <w:color w:val="000000"/>
                <w:sz w:val="22"/>
                <w:szCs w:val="22"/>
              </w:rPr>
              <w:t>of satisfactory or higher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B" w:rsidRPr="00D53D1D" w:rsidRDefault="00383CFB" w:rsidP="00E16C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b/>
                <w:bCs/>
                <w:color w:val="000000"/>
                <w:sz w:val="22"/>
                <w:szCs w:val="22"/>
              </w:rPr>
              <w:t>1-3%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B" w:rsidRPr="00D53D1D" w:rsidRDefault="00383CFB" w:rsidP="00E16C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b/>
                <w:bCs/>
                <w:color w:val="000000"/>
                <w:sz w:val="22"/>
                <w:szCs w:val="22"/>
              </w:rPr>
              <w:t>4+%</w:t>
            </w:r>
          </w:p>
        </w:tc>
      </w:tr>
      <w:tr w:rsidR="00383CFB" w:rsidRPr="00D53D1D" w:rsidTr="00E16CB3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FB" w:rsidRPr="00D53D1D" w:rsidRDefault="00383CFB" w:rsidP="00E16C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1D">
              <w:rPr>
                <w:b/>
                <w:color w:val="000000"/>
                <w:sz w:val="22"/>
                <w:szCs w:val="22"/>
              </w:rPr>
              <w:t>Performance Pay Earned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B" w:rsidRPr="00D53D1D" w:rsidRDefault="00383CFB" w:rsidP="00E16CB3">
            <w:pPr>
              <w:jc w:val="center"/>
              <w:rPr>
                <w:color w:val="000000"/>
                <w:sz w:val="22"/>
                <w:szCs w:val="22"/>
              </w:rPr>
            </w:pPr>
            <w:r w:rsidRPr="00D53D1D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B" w:rsidRPr="00D53D1D" w:rsidRDefault="00383CFB" w:rsidP="00E16CB3">
            <w:pPr>
              <w:jc w:val="center"/>
              <w:rPr>
                <w:color w:val="000000"/>
                <w:sz w:val="22"/>
                <w:szCs w:val="22"/>
              </w:rPr>
            </w:pPr>
            <w:r w:rsidRPr="00D53D1D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383CFB" w:rsidRPr="00D53D1D" w:rsidRDefault="00961C55" w:rsidP="00961C55">
      <w:pPr>
        <w:pStyle w:val="ListParagraph"/>
        <w:tabs>
          <w:tab w:val="left" w:pos="1635"/>
        </w:tabs>
        <w:rPr>
          <w:b/>
        </w:rPr>
      </w:pPr>
      <w:r w:rsidRPr="00D53D1D">
        <w:rPr>
          <w:b/>
        </w:rPr>
        <w:tab/>
      </w:r>
    </w:p>
    <w:p w:rsidR="00383CFB" w:rsidRDefault="00383CFB" w:rsidP="00FD59A5">
      <w:pPr>
        <w:pStyle w:val="ListParagraph"/>
        <w:rPr>
          <w:b/>
        </w:rPr>
      </w:pPr>
      <w:r w:rsidRPr="00D53D1D">
        <w:rPr>
          <w:b/>
        </w:rPr>
        <w:t>New Teachers will establish a baseline with the following payout -</w:t>
      </w:r>
      <w:r>
        <w:rPr>
          <w:b/>
        </w:rPr>
        <w:t xml:space="preserve"> </w:t>
      </w:r>
    </w:p>
    <w:p w:rsidR="00383CFB" w:rsidRPr="006B6720" w:rsidRDefault="00383CFB" w:rsidP="00FD59A5">
      <w:pPr>
        <w:pStyle w:val="ListParagraph"/>
        <w:rPr>
          <w:b/>
        </w:rPr>
      </w:pPr>
    </w:p>
    <w:tbl>
      <w:tblPr>
        <w:tblW w:w="8928" w:type="dxa"/>
        <w:tblInd w:w="937" w:type="dxa"/>
        <w:tblLook w:val="04A0" w:firstRow="1" w:lastRow="0" w:firstColumn="1" w:lastColumn="0" w:noHBand="0" w:noVBand="1"/>
      </w:tblPr>
      <w:tblGrid>
        <w:gridCol w:w="2700"/>
        <w:gridCol w:w="1080"/>
        <w:gridCol w:w="990"/>
        <w:gridCol w:w="1080"/>
        <w:gridCol w:w="1080"/>
        <w:gridCol w:w="990"/>
        <w:gridCol w:w="1008"/>
      </w:tblGrid>
      <w:tr w:rsidR="00FD59A5" w:rsidRPr="006B6720" w:rsidTr="0030491B">
        <w:trPr>
          <w:trHeight w:val="215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D59A5" w:rsidRPr="006B6720" w:rsidRDefault="00FD59A5" w:rsidP="0030491B">
            <w:pPr>
              <w:tabs>
                <w:tab w:val="left" w:pos="2214"/>
                <w:tab w:val="center" w:pos="4356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  <w:shd w:val="clear" w:color="auto" w:fill="C4BC96" w:themeFill="background2" w:themeFillShade="BF"/>
              </w:rPr>
              <w:tab/>
            </w:r>
            <w:r w:rsidRPr="006B6720">
              <w:rPr>
                <w:b/>
                <w:bCs/>
                <w:color w:val="000000"/>
                <w:sz w:val="22"/>
                <w:szCs w:val="22"/>
                <w:shd w:val="clear" w:color="auto" w:fill="C4BC96" w:themeFill="background2" w:themeFillShade="BF"/>
              </w:rPr>
              <w:tab/>
              <w:t>Thresholds</w:t>
            </w:r>
            <w:r w:rsidRPr="006B6720">
              <w:rPr>
                <w:b/>
                <w:bCs/>
                <w:color w:val="000000"/>
                <w:sz w:val="22"/>
                <w:szCs w:val="22"/>
              </w:rPr>
              <w:t xml:space="preserve"> for Bonus Payment: Satisfaction</w:t>
            </w:r>
          </w:p>
        </w:tc>
      </w:tr>
      <w:tr w:rsidR="00FD59A5" w:rsidRPr="006B6720" w:rsidTr="0030491B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A5" w:rsidRPr="006B6720" w:rsidRDefault="00FD59A5" w:rsidP="00304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</w:rPr>
              <w:lastRenderedPageBreak/>
              <w:t>% of satisfactory or higher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A5" w:rsidRPr="006B6720" w:rsidRDefault="00FD59A5" w:rsidP="00304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</w:rPr>
              <w:t>&lt;74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A5" w:rsidRPr="006B6720" w:rsidRDefault="00FD59A5" w:rsidP="00304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</w:rPr>
              <w:t>75-79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A5" w:rsidRPr="006B6720" w:rsidRDefault="00FD59A5" w:rsidP="00304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</w:rPr>
              <w:t>80-84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A5" w:rsidRPr="006B6720" w:rsidRDefault="00FD59A5" w:rsidP="00304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</w:rPr>
              <w:t>85-89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A5" w:rsidRPr="006B6720" w:rsidRDefault="00FD59A5" w:rsidP="00304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</w:rPr>
              <w:t>90-94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A5" w:rsidRPr="006B6720" w:rsidRDefault="00FD59A5" w:rsidP="00304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</w:rPr>
              <w:t>95-100</w:t>
            </w:r>
          </w:p>
        </w:tc>
      </w:tr>
      <w:tr w:rsidR="00FD59A5" w:rsidRPr="006B6720" w:rsidTr="0030491B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A5" w:rsidRPr="006B6720" w:rsidRDefault="00FD59A5" w:rsidP="003049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6720">
              <w:rPr>
                <w:b/>
                <w:color w:val="000000"/>
                <w:sz w:val="22"/>
                <w:szCs w:val="22"/>
              </w:rPr>
              <w:t>Performance Pay Earned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A5" w:rsidRPr="006B6720" w:rsidRDefault="00FD59A5" w:rsidP="0030491B">
            <w:pPr>
              <w:jc w:val="center"/>
              <w:rPr>
                <w:color w:val="000000"/>
                <w:sz w:val="22"/>
                <w:szCs w:val="22"/>
              </w:rPr>
            </w:pPr>
            <w:r w:rsidRPr="006B6720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A5" w:rsidRPr="006B6720" w:rsidRDefault="00FD59A5" w:rsidP="0030491B">
            <w:pPr>
              <w:jc w:val="center"/>
              <w:rPr>
                <w:color w:val="000000"/>
                <w:sz w:val="22"/>
                <w:szCs w:val="22"/>
              </w:rPr>
            </w:pPr>
            <w:r w:rsidRPr="006B6720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A5" w:rsidRPr="006B6720" w:rsidRDefault="00FD59A5" w:rsidP="0030491B">
            <w:pPr>
              <w:jc w:val="center"/>
              <w:rPr>
                <w:color w:val="000000"/>
                <w:sz w:val="22"/>
                <w:szCs w:val="22"/>
              </w:rPr>
            </w:pPr>
            <w:r w:rsidRPr="006B6720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A5" w:rsidRPr="006B6720" w:rsidRDefault="00FD59A5" w:rsidP="0030491B">
            <w:pPr>
              <w:jc w:val="center"/>
              <w:rPr>
                <w:color w:val="000000"/>
                <w:sz w:val="22"/>
                <w:szCs w:val="22"/>
              </w:rPr>
            </w:pPr>
            <w:r w:rsidRPr="006B6720"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A5" w:rsidRPr="006B6720" w:rsidRDefault="00FD59A5" w:rsidP="0030491B">
            <w:pPr>
              <w:jc w:val="center"/>
              <w:rPr>
                <w:color w:val="000000"/>
                <w:sz w:val="22"/>
                <w:szCs w:val="22"/>
              </w:rPr>
            </w:pPr>
            <w:r w:rsidRPr="006B6720">
              <w:rPr>
                <w:color w:val="000000"/>
                <w:sz w:val="22"/>
                <w:szCs w:val="22"/>
              </w:rPr>
              <w:t>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A5" w:rsidRPr="006B6720" w:rsidRDefault="00FD59A5" w:rsidP="0030491B">
            <w:pPr>
              <w:jc w:val="center"/>
              <w:rPr>
                <w:color w:val="000000"/>
                <w:sz w:val="22"/>
                <w:szCs w:val="22"/>
              </w:rPr>
            </w:pPr>
            <w:r w:rsidRPr="006B6720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B513C1" w:rsidRDefault="00B513C1" w:rsidP="00FD59A5">
      <w:pPr>
        <w:rPr>
          <w:rFonts w:asciiTheme="minorHAnsi" w:hAnsiTheme="minorHAnsi"/>
        </w:rPr>
      </w:pPr>
    </w:p>
    <w:p w:rsidR="00B513C1" w:rsidRDefault="00B513C1" w:rsidP="00FD59A5">
      <w:pPr>
        <w:rPr>
          <w:rFonts w:asciiTheme="minorHAnsi" w:hAnsiTheme="minorHAnsi"/>
        </w:rPr>
      </w:pPr>
    </w:p>
    <w:p w:rsidR="00B513C1" w:rsidRPr="00DA1EB4" w:rsidRDefault="00B513C1" w:rsidP="00FD59A5">
      <w:pPr>
        <w:rPr>
          <w:rFonts w:asciiTheme="minorHAnsi" w:hAnsiTheme="minorHAnsi"/>
        </w:rPr>
      </w:pPr>
    </w:p>
    <w:p w:rsidR="00FD59A5" w:rsidRPr="00B513C1" w:rsidRDefault="00B513C1" w:rsidP="00B513C1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u w:val="single"/>
        </w:rPr>
        <w:t xml:space="preserve"> </w:t>
      </w:r>
      <w:r w:rsidR="00FD59A5" w:rsidRPr="00B513C1">
        <w:rPr>
          <w:rFonts w:asciiTheme="minorHAnsi" w:hAnsiTheme="minorHAnsi"/>
          <w:b/>
          <w:u w:val="single"/>
        </w:rPr>
        <w:t>Increase Retention of Assigned Students:</w:t>
      </w:r>
      <w:r w:rsidR="00FD59A5" w:rsidRPr="00B513C1">
        <w:rPr>
          <w:rFonts w:asciiTheme="minorHAnsi" w:hAnsiTheme="minorHAnsi"/>
        </w:rPr>
        <w:t xml:space="preserve"> </w:t>
      </w:r>
    </w:p>
    <w:p w:rsidR="00FD59A5" w:rsidRPr="004A45C2" w:rsidRDefault="00FD59A5" w:rsidP="002D3FA8">
      <w:pPr>
        <w:pStyle w:val="ListParagraph"/>
        <w:ind w:left="1800"/>
        <w:rPr>
          <w:rFonts w:asciiTheme="minorHAnsi" w:hAnsiTheme="minorHAnsi"/>
          <w:b/>
          <w:i/>
          <w:color w:val="FF0000"/>
        </w:rPr>
      </w:pPr>
      <w:r w:rsidRPr="00F265A2">
        <w:rPr>
          <w:rFonts w:asciiTheme="minorHAnsi" w:hAnsiTheme="minorHAnsi"/>
        </w:rPr>
        <w:t>T</w:t>
      </w:r>
      <w:r>
        <w:rPr>
          <w:rFonts w:asciiTheme="minorHAnsi" w:hAnsiTheme="minorHAnsi"/>
        </w:rPr>
        <w:t>he entire UTVA staff will increase retention 3</w:t>
      </w:r>
      <w:r w:rsidRPr="006E1825">
        <w:rPr>
          <w:rFonts w:asciiTheme="minorHAnsi" w:hAnsiTheme="minorHAnsi"/>
        </w:rPr>
        <w:t xml:space="preserve">% of </w:t>
      </w:r>
      <w:r>
        <w:rPr>
          <w:rFonts w:asciiTheme="minorHAnsi" w:hAnsiTheme="minorHAnsi"/>
        </w:rPr>
        <w:t xml:space="preserve">total students over last year’s retention rate.  </w:t>
      </w:r>
      <w:r w:rsidR="00A17917">
        <w:rPr>
          <w:rFonts w:asciiTheme="minorHAnsi" w:hAnsiTheme="minorHAnsi"/>
        </w:rPr>
        <w:t>(</w:t>
      </w:r>
      <w:r w:rsidR="00A17917">
        <w:rPr>
          <w:rFonts w:asciiTheme="minorHAnsi" w:hAnsiTheme="minorHAnsi"/>
          <w:b/>
        </w:rPr>
        <w:t>5</w:t>
      </w:r>
      <w:r w:rsidRPr="00F265A2">
        <w:rPr>
          <w:rFonts w:asciiTheme="minorHAnsi" w:hAnsiTheme="minorHAnsi"/>
          <w:b/>
        </w:rPr>
        <w:t>%</w:t>
      </w:r>
      <w:r>
        <w:rPr>
          <w:rFonts w:asciiTheme="minorHAnsi" w:hAnsiTheme="minorHAnsi"/>
          <w:b/>
        </w:rPr>
        <w:t xml:space="preserve"> for the year, Team goal)</w:t>
      </w:r>
    </w:p>
    <w:p w:rsidR="00FD59A5" w:rsidRPr="00DA1EB4" w:rsidRDefault="00FD59A5" w:rsidP="00FD59A5">
      <w:pPr>
        <w:rPr>
          <w:rFonts w:asciiTheme="minorHAnsi" w:hAnsiTheme="minorHAnsi"/>
        </w:rPr>
      </w:pPr>
    </w:p>
    <w:tbl>
      <w:tblPr>
        <w:tblW w:w="7848" w:type="dxa"/>
        <w:tblInd w:w="468" w:type="dxa"/>
        <w:tblLook w:val="04A0" w:firstRow="1" w:lastRow="0" w:firstColumn="1" w:lastColumn="0" w:noHBand="0" w:noVBand="1"/>
      </w:tblPr>
      <w:tblGrid>
        <w:gridCol w:w="2163"/>
        <w:gridCol w:w="1260"/>
        <w:gridCol w:w="1188"/>
        <w:gridCol w:w="1188"/>
        <w:gridCol w:w="969"/>
        <w:gridCol w:w="1080"/>
      </w:tblGrid>
      <w:tr w:rsidR="00FD59A5" w:rsidRPr="00D53D1D" w:rsidTr="00FD59A5">
        <w:trPr>
          <w:trHeight w:val="300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Thresholds for Bonus Payment: Retention</w:t>
            </w:r>
          </w:p>
        </w:tc>
      </w:tr>
      <w:tr w:rsidR="00FD59A5" w:rsidRPr="00D53D1D" w:rsidTr="0030491B">
        <w:trPr>
          <w:trHeight w:val="3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% of Students Retained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A5" w:rsidRPr="00D53D1D" w:rsidRDefault="00A639D6" w:rsidP="003049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0-69</w:t>
            </w:r>
            <w:r w:rsidR="00FD59A5"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9A5" w:rsidRPr="00D53D1D" w:rsidRDefault="00A639D6" w:rsidP="003049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  <w:r w:rsidR="00FD59A5"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-75</w:t>
            </w:r>
            <w:r w:rsidR="00FD59A5"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A5" w:rsidRPr="00D53D1D" w:rsidRDefault="00A639D6" w:rsidP="000B7AD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76-80</w:t>
            </w:r>
            <w:r w:rsidR="00FD59A5"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FD59A5" w:rsidRPr="00D53D1D" w:rsidRDefault="00FD59A5" w:rsidP="0030491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D59A5" w:rsidRPr="00D53D1D" w:rsidRDefault="00A639D6" w:rsidP="0030491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81-90</w:t>
            </w:r>
            <w:r w:rsidR="00FD59A5"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FD59A5" w:rsidRPr="00D53D1D" w:rsidRDefault="000B7ADE" w:rsidP="003049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&gt;9</w:t>
            </w:r>
            <w:r w:rsidR="00FD59A5" w:rsidRPr="00D53D1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FD59A5" w:rsidRPr="00D53D1D" w:rsidTr="0030491B">
        <w:trPr>
          <w:trHeight w:val="3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Performance Pay Earned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FD59A5" w:rsidRPr="00D53D1D" w:rsidRDefault="00FD59A5" w:rsidP="0030491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3D1D">
              <w:rPr>
                <w:rFonts w:asciiTheme="minorHAnsi" w:hAnsiTheme="minorHAnsi"/>
                <w:color w:val="000000"/>
                <w:sz w:val="22"/>
                <w:szCs w:val="22"/>
              </w:rPr>
              <w:t>100%</w:t>
            </w:r>
          </w:p>
        </w:tc>
      </w:tr>
    </w:tbl>
    <w:p w:rsidR="00FD59A5" w:rsidRPr="00D53D1D" w:rsidRDefault="00FD59A5" w:rsidP="00F0008B">
      <w:pPr>
        <w:jc w:val="center"/>
        <w:rPr>
          <w:b/>
          <w:sz w:val="32"/>
          <w:szCs w:val="32"/>
        </w:rPr>
      </w:pPr>
    </w:p>
    <w:p w:rsidR="0055682F" w:rsidRPr="00D53D1D" w:rsidRDefault="00551EED" w:rsidP="00551EED">
      <w:pPr>
        <w:pStyle w:val="ListParagraph"/>
        <w:numPr>
          <w:ilvl w:val="0"/>
          <w:numId w:val="18"/>
        </w:numPr>
        <w:rPr>
          <w:b/>
        </w:rPr>
      </w:pPr>
      <w:r w:rsidRPr="00D53D1D">
        <w:rPr>
          <w:b/>
        </w:rPr>
        <w:t>In</w:t>
      </w:r>
      <w:r w:rsidR="00B84575" w:rsidRPr="00D53D1D">
        <w:rPr>
          <w:b/>
        </w:rPr>
        <w:t>creasing Student Year to Year Re-enrollment</w:t>
      </w:r>
      <w:r w:rsidR="00A17917">
        <w:rPr>
          <w:b/>
        </w:rPr>
        <w:t xml:space="preserve"> – 10%</w:t>
      </w:r>
      <w:r w:rsidR="002D3FA8">
        <w:rPr>
          <w:b/>
        </w:rPr>
        <w:t xml:space="preserve"> (whole school)</w:t>
      </w:r>
    </w:p>
    <w:p w:rsidR="00B84575" w:rsidRPr="00D53D1D" w:rsidRDefault="002D3FA8" w:rsidP="00551EED">
      <w:pPr>
        <w:pStyle w:val="ListParagraph"/>
        <w:ind w:left="1800"/>
      </w:pPr>
      <w:r>
        <w:t>Teachers will earn this is the number of students that return in Fall 2014 increase as a whole school.</w:t>
      </w:r>
    </w:p>
    <w:p w:rsidR="00B84575" w:rsidRPr="00D53D1D" w:rsidRDefault="00B84575" w:rsidP="00551EED">
      <w:pPr>
        <w:pStyle w:val="ListParagraph"/>
        <w:ind w:left="1800"/>
      </w:pPr>
    </w:p>
    <w:tbl>
      <w:tblPr>
        <w:tblW w:w="7920" w:type="dxa"/>
        <w:tblInd w:w="1098" w:type="dxa"/>
        <w:tblLook w:val="04A0" w:firstRow="1" w:lastRow="0" w:firstColumn="1" w:lastColumn="0" w:noHBand="0" w:noVBand="1"/>
      </w:tblPr>
      <w:tblGrid>
        <w:gridCol w:w="2106"/>
        <w:gridCol w:w="2250"/>
        <w:gridCol w:w="3564"/>
      </w:tblGrid>
      <w:tr w:rsidR="00B84575" w:rsidRPr="00D53D1D" w:rsidTr="00E16CB3">
        <w:trPr>
          <w:trHeight w:val="30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84575" w:rsidRPr="00D53D1D" w:rsidRDefault="00B84575" w:rsidP="00E16CB3">
            <w:pPr>
              <w:tabs>
                <w:tab w:val="left" w:pos="761"/>
                <w:tab w:val="center" w:pos="3852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D53D1D">
              <w:rPr>
                <w:b/>
                <w:bCs/>
                <w:color w:val="000000"/>
                <w:sz w:val="22"/>
                <w:szCs w:val="22"/>
              </w:rPr>
              <w:tab/>
              <w:t>Thresholds for Bonus Payment: Satisfactory Rating Improvement</w:t>
            </w:r>
          </w:p>
        </w:tc>
      </w:tr>
      <w:tr w:rsidR="00B84575" w:rsidRPr="00D53D1D" w:rsidTr="00E16CB3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5" w:rsidRPr="00D53D1D" w:rsidRDefault="00B84575" w:rsidP="00B84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b/>
                <w:bCs/>
                <w:color w:val="000000"/>
                <w:sz w:val="22"/>
                <w:szCs w:val="22"/>
              </w:rPr>
              <w:t>% improvement of student re-enrollment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75" w:rsidRPr="00D53D1D" w:rsidRDefault="00B84575" w:rsidP="00E16C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b/>
                <w:bCs/>
                <w:color w:val="000000"/>
                <w:sz w:val="22"/>
                <w:szCs w:val="22"/>
              </w:rPr>
              <w:t>1-3%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75" w:rsidRPr="00D53D1D" w:rsidRDefault="00B84575" w:rsidP="00E16C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b/>
                <w:bCs/>
                <w:color w:val="000000"/>
                <w:sz w:val="22"/>
                <w:szCs w:val="22"/>
              </w:rPr>
              <w:t>4+%</w:t>
            </w:r>
          </w:p>
        </w:tc>
      </w:tr>
      <w:tr w:rsidR="00B84575" w:rsidRPr="00D53D1D" w:rsidTr="00E16CB3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5" w:rsidRPr="00D53D1D" w:rsidRDefault="00B84575" w:rsidP="00E16C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1D">
              <w:rPr>
                <w:b/>
                <w:color w:val="000000"/>
                <w:sz w:val="22"/>
                <w:szCs w:val="22"/>
              </w:rPr>
              <w:t>Performance Pay Earned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75" w:rsidRPr="00D53D1D" w:rsidRDefault="00B84575" w:rsidP="00E16CB3">
            <w:pPr>
              <w:jc w:val="center"/>
              <w:rPr>
                <w:color w:val="000000"/>
                <w:sz w:val="22"/>
                <w:szCs w:val="22"/>
              </w:rPr>
            </w:pPr>
            <w:r w:rsidRPr="00D53D1D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75" w:rsidRPr="00D53D1D" w:rsidRDefault="00B84575" w:rsidP="00E16CB3">
            <w:pPr>
              <w:jc w:val="center"/>
              <w:rPr>
                <w:color w:val="000000"/>
                <w:sz w:val="22"/>
                <w:szCs w:val="22"/>
              </w:rPr>
            </w:pPr>
            <w:r w:rsidRPr="00D53D1D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B84575" w:rsidRPr="00D53D1D" w:rsidRDefault="00B84575" w:rsidP="00551EED">
      <w:pPr>
        <w:pStyle w:val="ListParagraph"/>
        <w:ind w:left="1800"/>
      </w:pPr>
    </w:p>
    <w:p w:rsidR="00F30CA3" w:rsidRDefault="00F30CA3" w:rsidP="0055682F">
      <w:pPr>
        <w:rPr>
          <w:b/>
          <w:sz w:val="28"/>
          <w:szCs w:val="28"/>
        </w:rPr>
      </w:pPr>
    </w:p>
    <w:p w:rsidR="0055682F" w:rsidRDefault="00B513C1" w:rsidP="0055682F">
      <w:pPr>
        <w:rPr>
          <w:b/>
          <w:sz w:val="28"/>
          <w:szCs w:val="28"/>
          <w:u w:val="single"/>
        </w:rPr>
      </w:pPr>
      <w:r w:rsidRPr="00B513C1">
        <w:rPr>
          <w:b/>
          <w:sz w:val="28"/>
          <w:szCs w:val="28"/>
        </w:rPr>
        <w:t>2.</w:t>
      </w:r>
      <w:r>
        <w:rPr>
          <w:b/>
          <w:sz w:val="28"/>
          <w:szCs w:val="28"/>
          <w:u w:val="single"/>
        </w:rPr>
        <w:t xml:space="preserve">  </w:t>
      </w:r>
      <w:r w:rsidR="0055682F" w:rsidRPr="006B6720">
        <w:rPr>
          <w:b/>
          <w:sz w:val="28"/>
          <w:szCs w:val="28"/>
          <w:u w:val="single"/>
        </w:rPr>
        <w:t>Increasing Student Achievement</w:t>
      </w:r>
      <w:r w:rsidR="007971AB">
        <w:rPr>
          <w:b/>
          <w:sz w:val="28"/>
          <w:szCs w:val="28"/>
          <w:u w:val="single"/>
        </w:rPr>
        <w:t xml:space="preserve"> – 7</w:t>
      </w:r>
      <w:r w:rsidR="00D0089D">
        <w:rPr>
          <w:b/>
          <w:sz w:val="28"/>
          <w:szCs w:val="28"/>
          <w:u w:val="single"/>
        </w:rPr>
        <w:t>0%</w:t>
      </w:r>
    </w:p>
    <w:p w:rsidR="00AC0D48" w:rsidRPr="00C83245" w:rsidRDefault="00AC0D48" w:rsidP="00AC0D48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</w:rPr>
      </w:pPr>
      <w:r w:rsidRPr="00C751EF">
        <w:rPr>
          <w:rFonts w:asciiTheme="minorHAnsi" w:hAnsiTheme="minorHAnsi"/>
          <w:b/>
          <w:u w:val="single"/>
        </w:rPr>
        <w:t xml:space="preserve">LMS Grades </w:t>
      </w:r>
      <w:r w:rsidRPr="00C751EF">
        <w:rPr>
          <w:rFonts w:asciiTheme="minorHAnsi" w:hAnsiTheme="minorHAnsi"/>
          <w:b/>
        </w:rPr>
        <w:t xml:space="preserve">:  </w:t>
      </w:r>
      <w:r w:rsidRPr="00B50952">
        <w:rPr>
          <w:rFonts w:asciiTheme="minorHAnsi" w:hAnsiTheme="minorHAnsi"/>
        </w:rPr>
        <w:t xml:space="preserve">At least 70% of students** in all teacher’s courses will be passing by the end of </w:t>
      </w:r>
      <w:r w:rsidR="00DE46EB">
        <w:rPr>
          <w:rFonts w:asciiTheme="minorHAnsi" w:hAnsiTheme="minorHAnsi"/>
        </w:rPr>
        <w:t>each</w:t>
      </w:r>
      <w:r w:rsidRPr="00B5095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block</w:t>
      </w:r>
      <w:r w:rsidRPr="00C751EF">
        <w:rPr>
          <w:rFonts w:asciiTheme="minorHAnsi" w:hAnsiTheme="minorHAnsi"/>
          <w:b/>
        </w:rPr>
        <w:t xml:space="preserve"> </w:t>
      </w:r>
    </w:p>
    <w:p w:rsidR="00AC0D48" w:rsidRPr="00462419" w:rsidRDefault="00AC0D48" w:rsidP="00AC0D48">
      <w:pPr>
        <w:rPr>
          <w:rFonts w:asciiTheme="minorHAnsi" w:hAnsiTheme="minorHAnsi"/>
          <w:b/>
        </w:rPr>
      </w:pPr>
    </w:p>
    <w:tbl>
      <w:tblPr>
        <w:tblW w:w="8238" w:type="dxa"/>
        <w:tblInd w:w="828" w:type="dxa"/>
        <w:tblLook w:val="04A0" w:firstRow="1" w:lastRow="0" w:firstColumn="1" w:lastColumn="0" w:noHBand="0" w:noVBand="1"/>
      </w:tblPr>
      <w:tblGrid>
        <w:gridCol w:w="2258"/>
        <w:gridCol w:w="2602"/>
        <w:gridCol w:w="3378"/>
      </w:tblGrid>
      <w:tr w:rsidR="00AC0D48" w:rsidRPr="00DA1EB4" w:rsidTr="00DF6FD5">
        <w:trPr>
          <w:trHeight w:val="323"/>
        </w:trPr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0D48" w:rsidRPr="00DA1EB4" w:rsidRDefault="00AC0D48" w:rsidP="00DF6FD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A1EB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Thresholds for Bonus Payment: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Passing Rates per teacher courses combined </w:t>
            </w:r>
          </w:p>
        </w:tc>
      </w:tr>
      <w:tr w:rsidR="00AC0D48" w:rsidRPr="00DA1EB4" w:rsidTr="00DF6FD5">
        <w:trPr>
          <w:trHeight w:val="32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8" w:rsidRPr="00DA1EB4" w:rsidRDefault="00AC0D48" w:rsidP="00DF6FD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% of Students Passing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48" w:rsidRPr="00DA1EB4" w:rsidRDefault="00AC0D48" w:rsidP="00DF6FD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70-75</w:t>
            </w:r>
            <w:r w:rsidRPr="00DA1EB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48" w:rsidRPr="00DA1EB4" w:rsidRDefault="00AC0D48" w:rsidP="00DF6FD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76</w:t>
            </w:r>
            <w:r w:rsidRPr="00DA1EB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-100%</w:t>
            </w:r>
          </w:p>
        </w:tc>
      </w:tr>
      <w:tr w:rsidR="00AC0D48" w:rsidRPr="00DA1EB4" w:rsidTr="00DF6FD5">
        <w:trPr>
          <w:trHeight w:val="32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8" w:rsidRPr="00DA1EB4" w:rsidRDefault="00AC0D48" w:rsidP="00DF6FD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A1EB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Performance Pay Earned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48" w:rsidRPr="00DA1EB4" w:rsidRDefault="00AC0D48" w:rsidP="00DF6F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 w:rsidRPr="00DA1EB4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48" w:rsidRPr="00DA1EB4" w:rsidRDefault="00AC0D48" w:rsidP="00DF6F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1EB4">
              <w:rPr>
                <w:rFonts w:asciiTheme="minorHAnsi" w:hAnsiTheme="minorHAnsi"/>
                <w:color w:val="000000"/>
                <w:sz w:val="22"/>
                <w:szCs w:val="22"/>
              </w:rPr>
              <w:t>100%</w:t>
            </w:r>
          </w:p>
        </w:tc>
      </w:tr>
    </w:tbl>
    <w:p w:rsidR="00AC0D48" w:rsidRDefault="00AC0D48" w:rsidP="00AC0D48">
      <w:pPr>
        <w:pStyle w:val="ListParagraph"/>
        <w:rPr>
          <w:rFonts w:asciiTheme="minorHAnsi" w:hAnsiTheme="minorHAnsi"/>
        </w:rPr>
      </w:pPr>
      <w:r w:rsidRPr="00D56F0A">
        <w:rPr>
          <w:rFonts w:asciiTheme="minorHAnsi" w:hAnsiTheme="minorHAnsi"/>
        </w:rPr>
        <w:t>*</w:t>
      </w:r>
      <w:r>
        <w:rPr>
          <w:rFonts w:asciiTheme="minorHAnsi" w:hAnsiTheme="minorHAnsi"/>
        </w:rPr>
        <w:t>Counselors = all-HS passing rate greater than or equal to 72%</w:t>
      </w:r>
    </w:p>
    <w:p w:rsidR="00AC0D48" w:rsidRPr="00EE7762" w:rsidRDefault="00AC0D48" w:rsidP="00AC0D48">
      <w:pPr>
        <w:rPr>
          <w:i/>
          <w:sz w:val="20"/>
          <w:szCs w:val="20"/>
        </w:rPr>
      </w:pPr>
      <w:r>
        <w:rPr>
          <w:rFonts w:asciiTheme="minorHAnsi" w:hAnsiTheme="minorHAnsi"/>
        </w:rPr>
        <w:t xml:space="preserve">** The following courses will require at least a 67% passing rate first semester: </w:t>
      </w:r>
      <w:r w:rsidRPr="00D07C3B">
        <w:rPr>
          <w:rFonts w:asciiTheme="minorHAnsi" w:hAnsiTheme="minorHAnsi"/>
          <w:b/>
        </w:rPr>
        <w:t>Math:</w:t>
      </w:r>
      <w:r>
        <w:rPr>
          <w:rFonts w:asciiTheme="minorHAnsi" w:hAnsiTheme="minorHAnsi"/>
        </w:rPr>
        <w:t xml:space="preserve"> </w:t>
      </w:r>
      <w:r w:rsidRPr="005F57FF">
        <w:rPr>
          <w:rFonts w:asciiTheme="minorHAnsi" w:hAnsiTheme="minorHAnsi"/>
          <w:sz w:val="20"/>
          <w:szCs w:val="20"/>
        </w:rPr>
        <w:t>Algebra I</w:t>
      </w:r>
      <w:r>
        <w:rPr>
          <w:rFonts w:asciiTheme="minorHAnsi" w:hAnsiTheme="minorHAnsi"/>
          <w:sz w:val="20"/>
          <w:szCs w:val="20"/>
        </w:rPr>
        <w:t xml:space="preserve"> (MTH122 &amp; 123)</w:t>
      </w:r>
      <w:r w:rsidRPr="005F57FF">
        <w:rPr>
          <w:rFonts w:asciiTheme="minorHAnsi" w:hAnsiTheme="minorHAnsi"/>
          <w:sz w:val="20"/>
          <w:szCs w:val="20"/>
        </w:rPr>
        <w:t>, Pre-Algebra</w:t>
      </w:r>
      <w:r>
        <w:rPr>
          <w:rFonts w:asciiTheme="minorHAnsi" w:hAnsiTheme="minorHAnsi"/>
          <w:sz w:val="20"/>
          <w:szCs w:val="20"/>
        </w:rPr>
        <w:t xml:space="preserve"> (MTH112)</w:t>
      </w:r>
      <w:r w:rsidRPr="005F57FF">
        <w:rPr>
          <w:rFonts w:asciiTheme="minorHAnsi" w:hAnsiTheme="minorHAnsi"/>
          <w:sz w:val="20"/>
          <w:szCs w:val="20"/>
        </w:rPr>
        <w:t>, Math Foundations</w:t>
      </w:r>
      <w:r>
        <w:rPr>
          <w:rFonts w:asciiTheme="minorHAnsi" w:hAnsiTheme="minorHAnsi"/>
          <w:sz w:val="20"/>
          <w:szCs w:val="20"/>
        </w:rPr>
        <w:t xml:space="preserve"> (MTH001 and MTH011). </w:t>
      </w:r>
      <w:r w:rsidRPr="00D07C3B">
        <w:rPr>
          <w:rFonts w:asciiTheme="minorHAnsi" w:hAnsiTheme="minorHAnsi"/>
          <w:b/>
          <w:sz w:val="22"/>
          <w:szCs w:val="22"/>
        </w:rPr>
        <w:t>Language Arts:</w:t>
      </w:r>
      <w:r>
        <w:rPr>
          <w:rFonts w:asciiTheme="minorHAnsi" w:hAnsiTheme="minorHAnsi"/>
          <w:sz w:val="20"/>
          <w:szCs w:val="20"/>
        </w:rPr>
        <w:t xml:space="preserve"> Core courses (LAC 1 (ENG102), LAC 2 (ENG202), Am Lit (ENG302), Brit Lit (ENG402)), English Foundations I &amp; II </w:t>
      </w:r>
      <w:r w:rsidRPr="00D07C3B">
        <w:rPr>
          <w:rFonts w:asciiTheme="minorHAnsi" w:hAnsiTheme="minorHAnsi"/>
          <w:b/>
          <w:sz w:val="22"/>
          <w:szCs w:val="22"/>
        </w:rPr>
        <w:t>Science:</w:t>
      </w:r>
      <w:r>
        <w:rPr>
          <w:rFonts w:asciiTheme="minorHAnsi" w:hAnsiTheme="minorHAnsi"/>
          <w:sz w:val="20"/>
          <w:szCs w:val="20"/>
        </w:rPr>
        <w:t xml:space="preserve"> Physical Science (SCI102), Earth Science (SCI112 &amp; 113), Environmental Science (SCI1010), Core </w:t>
      </w:r>
      <w:proofErr w:type="spellStart"/>
      <w:r>
        <w:rPr>
          <w:rFonts w:asciiTheme="minorHAnsi" w:hAnsiTheme="minorHAnsi"/>
          <w:sz w:val="20"/>
          <w:szCs w:val="20"/>
        </w:rPr>
        <w:t>Chem</w:t>
      </w:r>
      <w:proofErr w:type="spellEnd"/>
      <w:r>
        <w:rPr>
          <w:rFonts w:asciiTheme="minorHAnsi" w:hAnsiTheme="minorHAnsi"/>
          <w:sz w:val="20"/>
          <w:szCs w:val="20"/>
        </w:rPr>
        <w:t xml:space="preserve"> (SCI302), </w:t>
      </w:r>
      <w:r w:rsidRPr="00D07C3B">
        <w:rPr>
          <w:rFonts w:asciiTheme="minorHAnsi" w:hAnsiTheme="minorHAnsi"/>
          <w:sz w:val="20"/>
          <w:szCs w:val="20"/>
        </w:rPr>
        <w:t>Core Bio (SCI202)</w:t>
      </w:r>
      <w:r>
        <w:rPr>
          <w:rFonts w:asciiTheme="minorHAnsi" w:hAnsiTheme="minorHAnsi"/>
          <w:sz w:val="20"/>
          <w:szCs w:val="20"/>
        </w:rPr>
        <w:t xml:space="preserve">. </w:t>
      </w:r>
      <w:r w:rsidRPr="00D07C3B">
        <w:rPr>
          <w:rFonts w:asciiTheme="minorHAnsi" w:hAnsiTheme="minorHAnsi"/>
          <w:b/>
          <w:sz w:val="22"/>
          <w:szCs w:val="22"/>
        </w:rPr>
        <w:t>History:</w:t>
      </w:r>
      <w:r>
        <w:rPr>
          <w:rFonts w:asciiTheme="minorHAnsi" w:hAnsiTheme="minorHAnsi"/>
          <w:sz w:val="20"/>
          <w:szCs w:val="20"/>
        </w:rPr>
        <w:t xml:space="preserve">  </w:t>
      </w:r>
      <w:r w:rsidRPr="00A55521">
        <w:rPr>
          <w:rFonts w:asciiTheme="minorHAnsi" w:hAnsiTheme="minorHAnsi"/>
          <w:color w:val="000000"/>
          <w:sz w:val="20"/>
          <w:szCs w:val="20"/>
        </w:rPr>
        <w:t>World History (HST102), Geography and World Cultures (HST212)</w:t>
      </w:r>
      <w:r>
        <w:rPr>
          <w:rFonts w:asciiTheme="minorHAnsi" w:hAnsiTheme="minorHAnsi"/>
          <w:color w:val="000000"/>
          <w:sz w:val="20"/>
          <w:szCs w:val="20"/>
        </w:rPr>
        <w:t xml:space="preserve">. </w:t>
      </w:r>
      <w:r w:rsidRPr="00D07C3B">
        <w:rPr>
          <w:rFonts w:asciiTheme="minorHAnsi" w:hAnsiTheme="minorHAnsi"/>
          <w:b/>
          <w:color w:val="000000"/>
          <w:sz w:val="20"/>
          <w:szCs w:val="20"/>
        </w:rPr>
        <w:t>WLG:</w:t>
      </w:r>
      <w:r w:rsidRPr="00D07C3B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Spanish I WLG100. </w:t>
      </w:r>
      <w:r w:rsidRPr="00D07C3B">
        <w:rPr>
          <w:rFonts w:asciiTheme="minorHAnsi" w:hAnsiTheme="minorHAnsi"/>
          <w:b/>
          <w:sz w:val="22"/>
          <w:szCs w:val="22"/>
        </w:rPr>
        <w:t>Other:</w:t>
      </w:r>
      <w:r>
        <w:rPr>
          <w:rFonts w:asciiTheme="minorHAnsi" w:hAnsiTheme="minorHAnsi"/>
          <w:sz w:val="20"/>
          <w:szCs w:val="20"/>
        </w:rPr>
        <w:t xml:space="preserve">  </w:t>
      </w:r>
      <w:r w:rsidRPr="00486695">
        <w:rPr>
          <w:rFonts w:asciiTheme="minorHAnsi" w:hAnsiTheme="minorHAnsi"/>
          <w:sz w:val="20"/>
          <w:szCs w:val="20"/>
        </w:rPr>
        <w:t>Reaching You</w:t>
      </w:r>
      <w:r>
        <w:rPr>
          <w:rFonts w:asciiTheme="minorHAnsi" w:hAnsiTheme="minorHAnsi"/>
          <w:sz w:val="20"/>
          <w:szCs w:val="20"/>
        </w:rPr>
        <w:t xml:space="preserve">r Academic Potential (OTH040), </w:t>
      </w:r>
      <w:r w:rsidRPr="00486695">
        <w:rPr>
          <w:rFonts w:asciiTheme="minorHAnsi" w:hAnsiTheme="minorHAnsi"/>
          <w:sz w:val="20"/>
          <w:szCs w:val="20"/>
        </w:rPr>
        <w:t>Achieving Your Career and College Goals (OTH050), Skills for Health (OTH0</w:t>
      </w:r>
      <w:r>
        <w:rPr>
          <w:rFonts w:asciiTheme="minorHAnsi" w:hAnsiTheme="minorHAnsi"/>
          <w:sz w:val="20"/>
          <w:szCs w:val="20"/>
        </w:rPr>
        <w:t xml:space="preserve">10). </w:t>
      </w:r>
      <w:r w:rsidRPr="00EE7762">
        <w:rPr>
          <w:rFonts w:asciiTheme="minorHAnsi" w:hAnsiTheme="minorHAnsi"/>
          <w:i/>
          <w:sz w:val="20"/>
          <w:szCs w:val="20"/>
        </w:rPr>
        <w:t>[</w:t>
      </w:r>
      <w:r w:rsidRPr="00EE7762">
        <w:rPr>
          <w:i/>
          <w:sz w:val="20"/>
          <w:szCs w:val="20"/>
        </w:rPr>
        <w:t xml:space="preserve">The Academic Administrator will review these classes </w:t>
      </w:r>
      <w:r>
        <w:rPr>
          <w:i/>
          <w:sz w:val="20"/>
          <w:szCs w:val="20"/>
        </w:rPr>
        <w:t xml:space="preserve">for appropriate designation </w:t>
      </w:r>
      <w:r w:rsidRPr="00EE7762">
        <w:rPr>
          <w:i/>
          <w:sz w:val="20"/>
          <w:szCs w:val="20"/>
        </w:rPr>
        <w:t>(both within a de</w:t>
      </w:r>
      <w:r>
        <w:rPr>
          <w:i/>
          <w:sz w:val="20"/>
          <w:szCs w:val="20"/>
        </w:rPr>
        <w:t>partment and across the school)]</w:t>
      </w:r>
    </w:p>
    <w:p w:rsidR="00AC0D48" w:rsidRPr="006B6720" w:rsidRDefault="00AC0D48" w:rsidP="0055682F">
      <w:pPr>
        <w:rPr>
          <w:b/>
          <w:sz w:val="28"/>
          <w:szCs w:val="28"/>
          <w:u w:val="single"/>
        </w:rPr>
      </w:pPr>
    </w:p>
    <w:p w:rsidR="0055682F" w:rsidRPr="006B6720" w:rsidRDefault="0055682F" w:rsidP="0055682F">
      <w:pPr>
        <w:rPr>
          <w:i/>
          <w:sz w:val="18"/>
          <w:szCs w:val="18"/>
        </w:rPr>
      </w:pPr>
    </w:p>
    <w:p w:rsidR="0055682F" w:rsidRPr="006B6720" w:rsidRDefault="0055682F" w:rsidP="0065159D">
      <w:pPr>
        <w:pStyle w:val="ListParagraph"/>
        <w:numPr>
          <w:ilvl w:val="0"/>
          <w:numId w:val="4"/>
        </w:numPr>
        <w:rPr>
          <w:b/>
          <w:i/>
          <w:color w:val="FF0000"/>
        </w:rPr>
      </w:pPr>
      <w:r w:rsidRPr="006B6720">
        <w:rPr>
          <w:b/>
          <w:u w:val="single"/>
        </w:rPr>
        <w:t>Assessment Completion:</w:t>
      </w:r>
      <w:r w:rsidRPr="006B6720">
        <w:rPr>
          <w:b/>
        </w:rPr>
        <w:t xml:space="preserve">  </w:t>
      </w:r>
      <w:r w:rsidRPr="00C42118">
        <w:t xml:space="preserve">At least 96% of eligible students enrolled in a teacher’s </w:t>
      </w:r>
      <w:r w:rsidR="00DE46EB">
        <w:t xml:space="preserve">homeroom </w:t>
      </w:r>
      <w:r w:rsidRPr="00C42118">
        <w:t xml:space="preserve">will complete the required assessments. </w:t>
      </w:r>
      <w:r w:rsidR="00FD59A5" w:rsidRPr="00C42118">
        <w:t xml:space="preserve">(5% awarded </w:t>
      </w:r>
      <w:r w:rsidR="009F4E58" w:rsidRPr="00C42118">
        <w:t>first semester, 5</w:t>
      </w:r>
      <w:r w:rsidR="00B513C1" w:rsidRPr="00C42118">
        <w:t>% second semester</w:t>
      </w:r>
      <w:r w:rsidR="00FD59A5" w:rsidRPr="00C42118">
        <w:t>)</w:t>
      </w:r>
    </w:p>
    <w:p w:rsidR="0055682F" w:rsidRPr="006B6720" w:rsidRDefault="0055682F" w:rsidP="0055682F">
      <w:pPr>
        <w:ind w:left="360" w:firstLine="360"/>
        <w:rPr>
          <w:b/>
        </w:rPr>
      </w:pPr>
      <w:r w:rsidRPr="006B6720">
        <w:rPr>
          <w:b/>
        </w:rPr>
        <w:t xml:space="preserve">Program Specifics: </w:t>
      </w:r>
    </w:p>
    <w:p w:rsidR="0055682F" w:rsidRPr="006B6720" w:rsidRDefault="0055682F" w:rsidP="0055682F">
      <w:pPr>
        <w:pStyle w:val="ListParagraph"/>
        <w:rPr>
          <w:b/>
        </w:rPr>
      </w:pPr>
      <w:r w:rsidRPr="006B6720">
        <w:rPr>
          <w:b/>
        </w:rPr>
        <w:lastRenderedPageBreak/>
        <w:t>Assessments:</w:t>
      </w:r>
    </w:p>
    <w:p w:rsidR="0055682F" w:rsidRPr="006B6720" w:rsidRDefault="0055682F" w:rsidP="0065159D">
      <w:pPr>
        <w:pStyle w:val="ListParagraph"/>
        <w:numPr>
          <w:ilvl w:val="0"/>
          <w:numId w:val="7"/>
        </w:numPr>
      </w:pPr>
      <w:r w:rsidRPr="006B6720">
        <w:t>Scantron</w:t>
      </w:r>
    </w:p>
    <w:p w:rsidR="0055682F" w:rsidRPr="006B6720" w:rsidRDefault="0055682F" w:rsidP="0055682F">
      <w:pPr>
        <w:pStyle w:val="ListParagraph"/>
      </w:pPr>
    </w:p>
    <w:p w:rsidR="0055682F" w:rsidRPr="002D3FA8" w:rsidRDefault="0055682F" w:rsidP="002D3FA8">
      <w:pPr>
        <w:pStyle w:val="ListParagraph"/>
        <w:rPr>
          <w:b/>
        </w:rPr>
      </w:pPr>
      <w:r w:rsidRPr="006B6720">
        <w:rPr>
          <w:b/>
        </w:rPr>
        <w:t xml:space="preserve">Target Populations: </w:t>
      </w:r>
    </w:p>
    <w:p w:rsidR="0055682F" w:rsidRPr="006B6720" w:rsidRDefault="0055682F" w:rsidP="0065159D">
      <w:pPr>
        <w:pStyle w:val="ListParagraph"/>
        <w:numPr>
          <w:ilvl w:val="0"/>
          <w:numId w:val="8"/>
        </w:numPr>
      </w:pPr>
      <w:r w:rsidRPr="006B6720">
        <w:t>(</w:t>
      </w:r>
      <w:r w:rsidR="00AC0D48">
        <w:t>9-10</w:t>
      </w:r>
      <w:r w:rsidRPr="006B6720">
        <w:t xml:space="preserve">) </w:t>
      </w:r>
      <w:proofErr w:type="spellStart"/>
      <w:r w:rsidRPr="006B6720">
        <w:t>Scantron</w:t>
      </w:r>
      <w:proofErr w:type="spellEnd"/>
      <w:r w:rsidRPr="006B6720">
        <w:t xml:space="preserve"> Pre/Post Assessments (2 assessments)</w:t>
      </w:r>
    </w:p>
    <w:p w:rsidR="0055682F" w:rsidRPr="006B6720" w:rsidRDefault="0055682F" w:rsidP="00BC31F7">
      <w:pPr>
        <w:pStyle w:val="ListParagraph"/>
        <w:ind w:left="1440"/>
      </w:pPr>
    </w:p>
    <w:p w:rsidR="0055682F" w:rsidRPr="006B6720" w:rsidRDefault="0055682F" w:rsidP="0055682F">
      <w:pPr>
        <w:pStyle w:val="ListParagraph"/>
      </w:pPr>
      <w:r w:rsidRPr="006B6720">
        <w:rPr>
          <w:b/>
        </w:rPr>
        <w:t>Testing Cutoffs</w:t>
      </w:r>
      <w:r w:rsidRPr="006B6720">
        <w:t xml:space="preserve">: </w:t>
      </w:r>
      <w:r w:rsidRPr="006B6720">
        <w:rPr>
          <w:b/>
        </w:rPr>
        <w:t>Scantron Performance Series</w:t>
      </w:r>
    </w:p>
    <w:p w:rsidR="0055682F" w:rsidRPr="006B6720" w:rsidRDefault="0055682F" w:rsidP="0055682F">
      <w:pPr>
        <w:pStyle w:val="ListParagraph"/>
      </w:pPr>
      <w:r w:rsidRPr="006B6720">
        <w:t xml:space="preserve">Pretests: This includes all students enrolled through </w:t>
      </w:r>
      <w:r w:rsidR="00BC31F7">
        <w:t>November</w:t>
      </w:r>
      <w:r w:rsidRPr="006B6720">
        <w:t xml:space="preserve"> 1</w:t>
      </w:r>
      <w:r w:rsidR="00BC31F7">
        <w:t>6, 2012</w:t>
      </w:r>
    </w:p>
    <w:p w:rsidR="0055682F" w:rsidRPr="006B6720" w:rsidRDefault="0055682F" w:rsidP="0055682F">
      <w:pPr>
        <w:pStyle w:val="ListParagraph"/>
      </w:pPr>
      <w:r w:rsidRPr="006B6720">
        <w:t>Post Tests: This includes all students enrolled through March 1</w:t>
      </w:r>
      <w:r w:rsidR="00BC31F7">
        <w:t>5, 2013</w:t>
      </w:r>
    </w:p>
    <w:tbl>
      <w:tblPr>
        <w:tblW w:w="7920" w:type="dxa"/>
        <w:tblInd w:w="1098" w:type="dxa"/>
        <w:tblLook w:val="04A0" w:firstRow="1" w:lastRow="0" w:firstColumn="1" w:lastColumn="0" w:noHBand="0" w:noVBand="1"/>
      </w:tblPr>
      <w:tblGrid>
        <w:gridCol w:w="2106"/>
        <w:gridCol w:w="2250"/>
        <w:gridCol w:w="3564"/>
      </w:tblGrid>
      <w:tr w:rsidR="0055682F" w:rsidRPr="006B6720" w:rsidTr="00FC17B1">
        <w:trPr>
          <w:trHeight w:val="30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5682F" w:rsidRPr="006B6720" w:rsidRDefault="0055682F" w:rsidP="00FC17B1">
            <w:pPr>
              <w:tabs>
                <w:tab w:val="left" w:pos="761"/>
                <w:tab w:val="center" w:pos="3852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6B6720">
              <w:rPr>
                <w:b/>
                <w:bCs/>
                <w:color w:val="000000"/>
                <w:sz w:val="22"/>
                <w:szCs w:val="22"/>
              </w:rPr>
              <w:tab/>
              <w:t>Thresholds for Bonus Payment: ASSESSMENT Completion</w:t>
            </w:r>
          </w:p>
        </w:tc>
      </w:tr>
      <w:tr w:rsidR="0055682F" w:rsidRPr="006B6720" w:rsidTr="00FC17B1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F" w:rsidRPr="006B6720" w:rsidRDefault="0055682F" w:rsidP="00FC1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</w:rPr>
              <w:t>% of Students Completing PS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F" w:rsidRPr="006B6720" w:rsidRDefault="0055682F" w:rsidP="00FC1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</w:rPr>
              <w:t>90-95%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F" w:rsidRPr="006B6720" w:rsidRDefault="0055682F" w:rsidP="00FC1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720">
              <w:rPr>
                <w:b/>
                <w:bCs/>
                <w:color w:val="000000"/>
                <w:sz w:val="22"/>
                <w:szCs w:val="22"/>
              </w:rPr>
              <w:t>96-100%</w:t>
            </w:r>
          </w:p>
        </w:tc>
      </w:tr>
      <w:tr w:rsidR="0055682F" w:rsidRPr="006B6720" w:rsidTr="00FC17B1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F" w:rsidRPr="006B6720" w:rsidRDefault="0055682F" w:rsidP="00FC1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6720">
              <w:rPr>
                <w:b/>
                <w:color w:val="000000"/>
                <w:sz w:val="22"/>
                <w:szCs w:val="22"/>
              </w:rPr>
              <w:t>Performance Pay Earned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F" w:rsidRPr="006B6720" w:rsidRDefault="0055682F" w:rsidP="00FC17B1">
            <w:pPr>
              <w:jc w:val="center"/>
              <w:rPr>
                <w:color w:val="000000"/>
                <w:sz w:val="22"/>
                <w:szCs w:val="22"/>
              </w:rPr>
            </w:pPr>
            <w:r w:rsidRPr="006B6720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F" w:rsidRPr="006B6720" w:rsidRDefault="0055682F" w:rsidP="00FC17B1">
            <w:pPr>
              <w:jc w:val="center"/>
              <w:rPr>
                <w:color w:val="000000"/>
                <w:sz w:val="22"/>
                <w:szCs w:val="22"/>
              </w:rPr>
            </w:pPr>
            <w:r w:rsidRPr="006B6720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55682F" w:rsidRPr="006B6720" w:rsidRDefault="0055682F" w:rsidP="0055682F">
      <w:pPr>
        <w:ind w:firstLine="720"/>
        <w:rPr>
          <w:b/>
          <w:sz w:val="22"/>
          <w:szCs w:val="22"/>
        </w:rPr>
      </w:pPr>
    </w:p>
    <w:p w:rsidR="0055682F" w:rsidRPr="006B6720" w:rsidRDefault="0055682F" w:rsidP="00BC31F7">
      <w:pPr>
        <w:ind w:left="720"/>
        <w:rPr>
          <w:b/>
          <w:u w:val="single"/>
        </w:rPr>
      </w:pPr>
      <w:r w:rsidRPr="006B6720">
        <w:rPr>
          <w:b/>
          <w:sz w:val="22"/>
          <w:szCs w:val="22"/>
        </w:rPr>
        <w:t xml:space="preserve">  </w:t>
      </w:r>
    </w:p>
    <w:p w:rsidR="00687976" w:rsidRPr="006B6720" w:rsidRDefault="00687976" w:rsidP="00DE46EB">
      <w:pPr>
        <w:rPr>
          <w:b/>
          <w:u w:val="single"/>
        </w:rPr>
      </w:pPr>
    </w:p>
    <w:p w:rsidR="0055682F" w:rsidRPr="006B6720" w:rsidRDefault="0055682F" w:rsidP="0055682F">
      <w:pPr>
        <w:ind w:firstLine="360"/>
        <w:rPr>
          <w:b/>
          <w:u w:val="single"/>
        </w:rPr>
      </w:pPr>
      <w:r w:rsidRPr="006B6720">
        <w:rPr>
          <w:b/>
          <w:u w:val="single"/>
        </w:rPr>
        <w:t>Testing Connection</w:t>
      </w:r>
    </w:p>
    <w:p w:rsidR="0055682F" w:rsidRPr="006B6720" w:rsidRDefault="0055682F" w:rsidP="0055682F">
      <w:pPr>
        <w:rPr>
          <w:b/>
          <w:u w:val="single"/>
        </w:rPr>
      </w:pPr>
    </w:p>
    <w:p w:rsidR="0055682F" w:rsidRPr="006B6720" w:rsidRDefault="000E6155" w:rsidP="006515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</w:rPr>
        <w:t xml:space="preserve">CRT </w:t>
      </w:r>
      <w:r w:rsidR="00A17917">
        <w:rPr>
          <w:b/>
        </w:rPr>
        <w:t xml:space="preserve"> </w:t>
      </w:r>
      <w:r>
        <w:rPr>
          <w:b/>
        </w:rPr>
        <w:t>participation</w:t>
      </w:r>
      <w:r w:rsidR="0055682F" w:rsidRPr="006B6720">
        <w:rPr>
          <w:b/>
        </w:rPr>
        <w:t xml:space="preserve">:  </w:t>
      </w:r>
      <w:r w:rsidR="009F4E58">
        <w:rPr>
          <w:b/>
        </w:rPr>
        <w:t>5</w:t>
      </w:r>
      <w:r>
        <w:rPr>
          <w:b/>
        </w:rPr>
        <w:t>%</w:t>
      </w:r>
    </w:p>
    <w:p w:rsidR="0055682F" w:rsidRPr="006B6720" w:rsidRDefault="00B513C1" w:rsidP="0055682F">
      <w:pPr>
        <w:pStyle w:val="ListParagraph"/>
      </w:pPr>
      <w:r>
        <w:t xml:space="preserve">Population Payout: </w:t>
      </w:r>
      <w:r w:rsidR="004D2D28">
        <w:t>9-12</w:t>
      </w:r>
      <w:r w:rsidR="0055682F" w:rsidRPr="006B6720">
        <w:t xml:space="preserve"> Teachers </w:t>
      </w:r>
    </w:p>
    <w:p w:rsidR="0055682F" w:rsidRDefault="0055682F" w:rsidP="0055682F">
      <w:pPr>
        <w:pStyle w:val="ListParagraph"/>
      </w:pPr>
      <w:r w:rsidRPr="006B6720">
        <w:t xml:space="preserve">Goal: Collaborative Schoolwide Achievement Effort as measured by </w:t>
      </w:r>
      <w:r w:rsidR="00A17917">
        <w:t>2015</w:t>
      </w:r>
      <w:r w:rsidR="000E6155">
        <w:t xml:space="preserve"> CRT’s</w:t>
      </w:r>
      <w:r w:rsidR="00A17917">
        <w:t xml:space="preserve"> </w:t>
      </w:r>
    </w:p>
    <w:p w:rsidR="000E6155" w:rsidRDefault="000E6155" w:rsidP="0065159D">
      <w:pPr>
        <w:pStyle w:val="ListParagraph"/>
        <w:numPr>
          <w:ilvl w:val="0"/>
          <w:numId w:val="8"/>
        </w:numPr>
      </w:pPr>
      <w:r>
        <w:t>95% of students must be tested in order to qualify for AYP</w:t>
      </w:r>
    </w:p>
    <w:p w:rsidR="000E6155" w:rsidRDefault="000E6155" w:rsidP="000E6155">
      <w:pPr>
        <w:ind w:left="720"/>
      </w:pPr>
      <w:r>
        <w:t>This will be paid out to all teachers if we get 95% tested for</w:t>
      </w:r>
      <w:r w:rsidR="00B513C1">
        <w:t xml:space="preserve"> CRT’s</w:t>
      </w:r>
      <w:r w:rsidR="00A17917">
        <w:t xml:space="preserve"> </w:t>
      </w:r>
      <w:r w:rsidR="004D2D28">
        <w:t>=</w:t>
      </w:r>
      <w:r w:rsidR="00B513C1">
        <w:t xml:space="preserve"> </w:t>
      </w:r>
      <w:proofErr w:type="spellStart"/>
      <w:r w:rsidR="00B513C1">
        <w:t>schoolwide</w:t>
      </w:r>
      <w:proofErr w:type="spellEnd"/>
      <w:r w:rsidR="00B513C1">
        <w:t>.</w:t>
      </w:r>
    </w:p>
    <w:p w:rsidR="000F4300" w:rsidRDefault="000F4300" w:rsidP="000E6155">
      <w:pPr>
        <w:ind w:left="720"/>
      </w:pPr>
    </w:p>
    <w:p w:rsidR="000F4300" w:rsidRPr="00D53D1D" w:rsidRDefault="00AE5EF1" w:rsidP="000F4300">
      <w:pPr>
        <w:pStyle w:val="ListParagraph"/>
        <w:numPr>
          <w:ilvl w:val="0"/>
          <w:numId w:val="4"/>
        </w:numPr>
        <w:rPr>
          <w:b/>
        </w:rPr>
      </w:pPr>
      <w:r w:rsidRPr="00D53D1D">
        <w:rPr>
          <w:b/>
        </w:rPr>
        <w:t>UPASS Progress Score</w:t>
      </w:r>
      <w:r w:rsidR="007971AB">
        <w:rPr>
          <w:b/>
        </w:rPr>
        <w:t>: 10</w:t>
      </w:r>
      <w:r w:rsidR="000F4300" w:rsidRPr="00D53D1D">
        <w:rPr>
          <w:b/>
        </w:rPr>
        <w:t>%</w:t>
      </w:r>
    </w:p>
    <w:p w:rsidR="006E0C80" w:rsidRPr="00D53D1D" w:rsidRDefault="00AC0D48" w:rsidP="006E0C80">
      <w:pPr>
        <w:pStyle w:val="ListParagraph"/>
      </w:pPr>
      <w:r>
        <w:t>School wide (9-12) students</w:t>
      </w:r>
      <w:r w:rsidR="006E0C80" w:rsidRPr="00D53D1D">
        <w:t xml:space="preserve"> will </w:t>
      </w:r>
      <w:r w:rsidR="00AE5EF1" w:rsidRPr="00D53D1D">
        <w:t>show sufficient progress on their UPASS progress scores.</w:t>
      </w:r>
    </w:p>
    <w:tbl>
      <w:tblPr>
        <w:tblW w:w="7920" w:type="dxa"/>
        <w:tblInd w:w="1098" w:type="dxa"/>
        <w:tblLook w:val="04A0" w:firstRow="1" w:lastRow="0" w:firstColumn="1" w:lastColumn="0" w:noHBand="0" w:noVBand="1"/>
      </w:tblPr>
      <w:tblGrid>
        <w:gridCol w:w="2106"/>
        <w:gridCol w:w="2250"/>
        <w:gridCol w:w="3564"/>
      </w:tblGrid>
      <w:tr w:rsidR="000F4300" w:rsidRPr="00D53D1D" w:rsidTr="00E16CB3">
        <w:trPr>
          <w:trHeight w:val="30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F4300" w:rsidRPr="00D53D1D" w:rsidRDefault="000F4300" w:rsidP="000F4300">
            <w:pPr>
              <w:tabs>
                <w:tab w:val="left" w:pos="761"/>
                <w:tab w:val="center" w:pos="3852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D53D1D">
              <w:rPr>
                <w:b/>
                <w:bCs/>
                <w:color w:val="000000"/>
                <w:sz w:val="22"/>
                <w:szCs w:val="22"/>
              </w:rPr>
              <w:tab/>
              <w:t>Thresholds for Bonus Payment: CRT Results</w:t>
            </w:r>
          </w:p>
        </w:tc>
      </w:tr>
      <w:tr w:rsidR="000F4300" w:rsidRPr="00D53D1D" w:rsidTr="00E16CB3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Pr="00D53D1D" w:rsidRDefault="00AE5EF1" w:rsidP="00E16C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D1D">
              <w:rPr>
                <w:b/>
                <w:bCs/>
                <w:color w:val="000000"/>
                <w:sz w:val="22"/>
                <w:szCs w:val="22"/>
              </w:rPr>
              <w:t xml:space="preserve">UPASS Progress Score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00" w:rsidRPr="00D53D1D" w:rsidRDefault="00DF500F" w:rsidP="00E16C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180-200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00" w:rsidRPr="00D53D1D" w:rsidRDefault="00DF500F" w:rsidP="00E16C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&gt;20</w:t>
            </w:r>
            <w:r w:rsidR="00AE5EF1" w:rsidRPr="00D53D1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F4300" w:rsidRPr="006B6720" w:rsidTr="00E16CB3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Pr="00D53D1D" w:rsidRDefault="000F4300" w:rsidP="00E16C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1D">
              <w:rPr>
                <w:b/>
                <w:color w:val="000000"/>
                <w:sz w:val="22"/>
                <w:szCs w:val="22"/>
              </w:rPr>
              <w:t>Performance Pay Earned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00" w:rsidRPr="00D53D1D" w:rsidRDefault="000F4300" w:rsidP="00E16CB3">
            <w:pPr>
              <w:jc w:val="center"/>
              <w:rPr>
                <w:color w:val="000000"/>
                <w:sz w:val="22"/>
                <w:szCs w:val="22"/>
              </w:rPr>
            </w:pPr>
            <w:r w:rsidRPr="00D53D1D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00" w:rsidRPr="006B6720" w:rsidRDefault="000F4300" w:rsidP="00E16CB3">
            <w:pPr>
              <w:jc w:val="center"/>
              <w:rPr>
                <w:color w:val="000000"/>
                <w:sz w:val="22"/>
                <w:szCs w:val="22"/>
              </w:rPr>
            </w:pPr>
            <w:r w:rsidRPr="00D53D1D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0F4300" w:rsidRPr="006E0C80" w:rsidRDefault="000F4300" w:rsidP="006E0C80">
      <w:pPr>
        <w:rPr>
          <w:b/>
        </w:rPr>
      </w:pPr>
    </w:p>
    <w:p w:rsidR="000F4300" w:rsidRPr="000F4300" w:rsidRDefault="000F4300" w:rsidP="000F4300">
      <w:pPr>
        <w:pStyle w:val="ListParagraph"/>
      </w:pPr>
    </w:p>
    <w:p w:rsidR="0055682F" w:rsidRPr="006B6720" w:rsidRDefault="0055682F" w:rsidP="0055682F">
      <w:pPr>
        <w:rPr>
          <w:b/>
          <w:sz w:val="28"/>
          <w:szCs w:val="28"/>
          <w:u w:val="single"/>
        </w:rPr>
      </w:pPr>
    </w:p>
    <w:p w:rsidR="0055682F" w:rsidRPr="007D5026" w:rsidRDefault="00B513C1" w:rsidP="0055682F">
      <w:pPr>
        <w:rPr>
          <w:i/>
        </w:rPr>
      </w:pPr>
      <w:r w:rsidRPr="00B513C1">
        <w:rPr>
          <w:b/>
          <w:sz w:val="28"/>
          <w:szCs w:val="28"/>
        </w:rPr>
        <w:t>3</w:t>
      </w:r>
      <w:r w:rsidRPr="007D5026">
        <w:rPr>
          <w:b/>
          <w:sz w:val="28"/>
          <w:szCs w:val="28"/>
        </w:rPr>
        <w:t>.</w:t>
      </w:r>
      <w:r w:rsidRPr="007D5026">
        <w:rPr>
          <w:b/>
          <w:sz w:val="28"/>
          <w:szCs w:val="28"/>
          <w:u w:val="single"/>
        </w:rPr>
        <w:t xml:space="preserve">  </w:t>
      </w:r>
      <w:r w:rsidR="0055682F" w:rsidRPr="007D5026">
        <w:rPr>
          <w:b/>
          <w:sz w:val="28"/>
          <w:szCs w:val="28"/>
          <w:u w:val="single"/>
        </w:rPr>
        <w:t>Professional Development</w:t>
      </w:r>
      <w:r w:rsidR="0055682F" w:rsidRPr="007D5026">
        <w:rPr>
          <w:b/>
          <w:sz w:val="28"/>
          <w:szCs w:val="28"/>
        </w:rPr>
        <w:t xml:space="preserve"> </w:t>
      </w:r>
      <w:r w:rsidR="0055682F" w:rsidRPr="007D5026">
        <w:rPr>
          <w:sz w:val="28"/>
          <w:szCs w:val="28"/>
        </w:rPr>
        <w:t xml:space="preserve">- </w:t>
      </w:r>
      <w:r w:rsidR="00A17917">
        <w:rPr>
          <w:b/>
          <w:i/>
        </w:rPr>
        <w:t>10</w:t>
      </w:r>
      <w:r w:rsidR="0055682F" w:rsidRPr="007D5026">
        <w:rPr>
          <w:b/>
          <w:i/>
        </w:rPr>
        <w:t>% of Performance Pay Funds</w:t>
      </w:r>
      <w:r w:rsidRPr="007D5026">
        <w:rPr>
          <w:i/>
        </w:rPr>
        <w:t xml:space="preserve"> </w:t>
      </w:r>
    </w:p>
    <w:p w:rsidR="0065159D" w:rsidRPr="007D5026" w:rsidRDefault="0065159D" w:rsidP="0055682F">
      <w:r w:rsidRPr="007D5026">
        <w:t xml:space="preserve">Teacher Population: </w:t>
      </w:r>
      <w:r w:rsidR="004D2D28">
        <w:t>9-12</w:t>
      </w:r>
    </w:p>
    <w:p w:rsidR="0055682F" w:rsidRPr="007D5026" w:rsidRDefault="0055682F" w:rsidP="0055682F">
      <w:r w:rsidRPr="007D5026">
        <w:t xml:space="preserve"> </w:t>
      </w:r>
    </w:p>
    <w:p w:rsidR="0065159D" w:rsidRPr="007D5026" w:rsidRDefault="00D0089D" w:rsidP="007D5026">
      <w:pPr>
        <w:pStyle w:val="ListParagraph"/>
        <w:numPr>
          <w:ilvl w:val="0"/>
          <w:numId w:val="1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>Continuing Education (5</w:t>
      </w:r>
      <w:r w:rsidR="006D6289" w:rsidRPr="00444068">
        <w:rPr>
          <w:rFonts w:asciiTheme="minorHAnsi" w:hAnsiTheme="minorHAnsi"/>
          <w:b/>
        </w:rPr>
        <w:t>%)</w:t>
      </w:r>
      <w:r w:rsidR="006D6289" w:rsidRPr="007D5026">
        <w:rPr>
          <w:rFonts w:asciiTheme="minorHAnsi" w:hAnsiTheme="minorHAnsi"/>
        </w:rPr>
        <w:t xml:space="preserve"> </w:t>
      </w:r>
      <w:r w:rsidR="009F4E58" w:rsidRPr="007D5026">
        <w:rPr>
          <w:rFonts w:asciiTheme="minorHAnsi" w:hAnsiTheme="minorHAnsi"/>
        </w:rPr>
        <w:t>-</w:t>
      </w:r>
      <w:r w:rsidR="009F4E58" w:rsidRPr="007D5026">
        <w:rPr>
          <w:rFonts w:asciiTheme="minorHAnsi" w:hAnsiTheme="minorHAnsi"/>
          <w:color w:val="FF0000"/>
        </w:rPr>
        <w:t xml:space="preserve"> </w:t>
      </w:r>
      <w:r w:rsidR="0065159D" w:rsidRPr="007D5026">
        <w:rPr>
          <w:rFonts w:asciiTheme="minorHAnsi" w:hAnsiTheme="minorHAnsi"/>
          <w:color w:val="000000"/>
        </w:rPr>
        <w:t xml:space="preserve">Teachers will be required to complete two individual professional development opportunities </w:t>
      </w:r>
      <w:r w:rsidR="0065159D" w:rsidRPr="007D5026">
        <w:rPr>
          <w:rFonts w:asciiTheme="minorHAnsi" w:hAnsiTheme="minorHAnsi"/>
          <w:b/>
          <w:color w:val="000000"/>
        </w:rPr>
        <w:t xml:space="preserve">over and above K12 Training, NPD, and UTVA PD’s.   </w:t>
      </w:r>
      <w:r w:rsidR="0065159D" w:rsidRPr="007D5026">
        <w:rPr>
          <w:rFonts w:asciiTheme="minorHAnsi" w:hAnsiTheme="minorHAnsi"/>
          <w:color w:val="000000"/>
        </w:rPr>
        <w:t xml:space="preserve"> The staff member will submit their professional development plan for the year to their supervisor by </w:t>
      </w:r>
      <w:r w:rsidR="009F4E58" w:rsidRPr="007D5026">
        <w:rPr>
          <w:rFonts w:asciiTheme="minorHAnsi" w:hAnsiTheme="minorHAnsi"/>
          <w:color w:val="000000"/>
        </w:rPr>
        <w:t>June 30th</w:t>
      </w:r>
      <w:r w:rsidR="0065159D" w:rsidRPr="007D5026">
        <w:rPr>
          <w:rFonts w:asciiTheme="minorHAnsi" w:hAnsiTheme="minorHAnsi"/>
          <w:color w:val="000000"/>
        </w:rPr>
        <w:t>, 2012</w:t>
      </w:r>
      <w:r w:rsidR="009F4E58" w:rsidRPr="007D5026">
        <w:rPr>
          <w:rFonts w:asciiTheme="minorHAnsi" w:hAnsiTheme="minorHAnsi"/>
          <w:color w:val="000000"/>
        </w:rPr>
        <w:t>. It is encouraged that teachers complete this goal during the summer preceding the applicable school year</w:t>
      </w:r>
      <w:r w:rsidR="0065159D" w:rsidRPr="007D5026">
        <w:rPr>
          <w:rFonts w:asciiTheme="minorHAnsi" w:hAnsiTheme="minorHAnsi"/>
          <w:color w:val="000000"/>
        </w:rPr>
        <w:t xml:space="preserve">.  </w:t>
      </w:r>
      <w:r w:rsidR="0065159D" w:rsidRPr="007D5026">
        <w:rPr>
          <w:rFonts w:asciiTheme="minorHAnsi" w:hAnsiTheme="minorHAnsi"/>
          <w:i/>
          <w:color w:val="000000"/>
        </w:rPr>
        <w:t xml:space="preserve">(Note:  Each professional development opportunity should be at least 5-7 hours in length.  It does not have to be done each semester but can be done all at once.  Payout will be </w:t>
      </w:r>
      <w:r w:rsidR="009F4E58" w:rsidRPr="007D5026">
        <w:rPr>
          <w:rFonts w:asciiTheme="minorHAnsi" w:hAnsiTheme="minorHAnsi"/>
          <w:i/>
          <w:color w:val="000000"/>
        </w:rPr>
        <w:t>possible in the December payout if completed by November 30</w:t>
      </w:r>
      <w:r w:rsidR="009F4E58" w:rsidRPr="007D5026">
        <w:rPr>
          <w:rFonts w:asciiTheme="minorHAnsi" w:hAnsiTheme="minorHAnsi"/>
          <w:i/>
          <w:color w:val="000000"/>
          <w:vertAlign w:val="superscript"/>
        </w:rPr>
        <w:t>th</w:t>
      </w:r>
      <w:r w:rsidR="00F9769D" w:rsidRPr="007D5026">
        <w:rPr>
          <w:rFonts w:asciiTheme="minorHAnsi" w:hAnsiTheme="minorHAnsi"/>
          <w:i/>
          <w:color w:val="000000"/>
        </w:rPr>
        <w:t xml:space="preserve"> 2012</w:t>
      </w:r>
      <w:r w:rsidR="0065159D" w:rsidRPr="007D5026">
        <w:rPr>
          <w:rFonts w:asciiTheme="minorHAnsi" w:hAnsiTheme="minorHAnsi"/>
          <w:i/>
          <w:color w:val="000000"/>
        </w:rPr>
        <w:t>)</w:t>
      </w:r>
    </w:p>
    <w:p w:rsidR="0065159D" w:rsidRDefault="0065159D" w:rsidP="0065159D">
      <w:pPr>
        <w:rPr>
          <w:rFonts w:asciiTheme="minorHAnsi" w:hAnsiTheme="minorHAnsi"/>
          <w:color w:val="000000"/>
        </w:rPr>
      </w:pPr>
    </w:p>
    <w:p w:rsidR="0065159D" w:rsidRPr="00226890" w:rsidRDefault="0065159D" w:rsidP="0065159D">
      <w:pPr>
        <w:rPr>
          <w:rFonts w:asciiTheme="minorHAnsi" w:hAnsiTheme="minorHAnsi"/>
          <w:i/>
          <w:color w:val="000000"/>
        </w:rPr>
      </w:pPr>
      <w:r w:rsidRPr="00226890">
        <w:rPr>
          <w:rFonts w:asciiTheme="minorHAnsi" w:hAnsiTheme="minorHAnsi"/>
          <w:i/>
          <w:color w:val="000000"/>
        </w:rPr>
        <w:t>Examples of qualifying Professional Development activities</w:t>
      </w:r>
      <w:r>
        <w:rPr>
          <w:rFonts w:asciiTheme="minorHAnsi" w:hAnsiTheme="minorHAnsi"/>
          <w:i/>
          <w:color w:val="000000"/>
        </w:rPr>
        <w:t>:</w:t>
      </w:r>
    </w:p>
    <w:p w:rsidR="0065159D" w:rsidRDefault="0065159D" w:rsidP="0065159D">
      <w:pPr>
        <w:rPr>
          <w:rFonts w:asciiTheme="minorHAnsi" w:hAnsiTheme="minorHAnsi"/>
          <w:color w:val="000000"/>
        </w:rPr>
      </w:pPr>
    </w:p>
    <w:p w:rsidR="0065159D" w:rsidRPr="00226890" w:rsidRDefault="0065159D" w:rsidP="0065159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26890">
        <w:rPr>
          <w:rFonts w:asciiTheme="minorHAnsi" w:hAnsiTheme="minorHAnsi"/>
          <w:b/>
        </w:rPr>
        <w:t>College Course(s):</w:t>
      </w:r>
      <w:r w:rsidRPr="00226890">
        <w:rPr>
          <w:rFonts w:asciiTheme="minorHAnsi" w:hAnsiTheme="minorHAnsi"/>
        </w:rPr>
        <w:t xml:space="preserve"> All courses must be pre-approved by supervisor and related to job duties. Scores and/or final grades will be sent to their supervisor to verify completion. </w:t>
      </w:r>
    </w:p>
    <w:p w:rsidR="0065159D" w:rsidRPr="00F265A2" w:rsidRDefault="0065159D" w:rsidP="0065159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F265A2">
        <w:rPr>
          <w:rFonts w:asciiTheme="minorHAnsi" w:hAnsiTheme="minorHAnsi"/>
          <w:b/>
        </w:rPr>
        <w:t>School Attending:</w:t>
      </w:r>
    </w:p>
    <w:p w:rsidR="0065159D" w:rsidRPr="00F265A2" w:rsidRDefault="0065159D" w:rsidP="0065159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F265A2">
        <w:rPr>
          <w:rFonts w:asciiTheme="minorHAnsi" w:hAnsiTheme="minorHAnsi"/>
          <w:b/>
        </w:rPr>
        <w:lastRenderedPageBreak/>
        <w:t>Course Title/Description:</w:t>
      </w:r>
    </w:p>
    <w:p w:rsidR="0065159D" w:rsidRPr="00F265A2" w:rsidRDefault="0065159D" w:rsidP="0065159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F265A2">
        <w:rPr>
          <w:rFonts w:asciiTheme="minorHAnsi" w:hAnsiTheme="minorHAnsi"/>
          <w:b/>
        </w:rPr>
        <w:t>Start &amp; Completion Date:</w:t>
      </w:r>
    </w:p>
    <w:p w:rsidR="0065159D" w:rsidRDefault="0065159D" w:rsidP="0065159D">
      <w:pPr>
        <w:pStyle w:val="ListParagraph"/>
        <w:ind w:left="1080"/>
        <w:rPr>
          <w:rFonts w:asciiTheme="minorHAnsi" w:hAnsiTheme="minorHAnsi"/>
        </w:rPr>
      </w:pPr>
    </w:p>
    <w:p w:rsidR="0065159D" w:rsidRDefault="0065159D" w:rsidP="006515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Praxis</w:t>
      </w:r>
      <w:r w:rsidRPr="004B7B6F">
        <w:rPr>
          <w:rFonts w:asciiTheme="minorHAnsi" w:hAnsiTheme="minorHAnsi"/>
          <w:b/>
        </w:rPr>
        <w:t xml:space="preserve"> Exam/Endorsement:</w:t>
      </w:r>
      <w:r>
        <w:rPr>
          <w:rFonts w:asciiTheme="minorHAnsi" w:hAnsiTheme="minorHAnsi"/>
        </w:rPr>
        <w:t xml:space="preserve"> </w:t>
      </w:r>
      <w:r w:rsidRPr="00C97223">
        <w:rPr>
          <w:rFonts w:asciiTheme="minorHAnsi" w:hAnsiTheme="minorHAnsi"/>
        </w:rPr>
        <w:t xml:space="preserve">Teachers are encouraged to seek endorsements to be added to their teaching certificate by taking </w:t>
      </w:r>
      <w:r>
        <w:rPr>
          <w:rFonts w:asciiTheme="minorHAnsi" w:hAnsiTheme="minorHAnsi"/>
        </w:rPr>
        <w:t>the Praxis, as well as all related coursework. Scores and teaching certificate with added endorsement</w:t>
      </w:r>
      <w:r w:rsidRPr="00C97223">
        <w:rPr>
          <w:rFonts w:asciiTheme="minorHAnsi" w:hAnsiTheme="minorHAnsi"/>
        </w:rPr>
        <w:t xml:space="preserve"> will be sent to th</w:t>
      </w:r>
      <w:r>
        <w:rPr>
          <w:rFonts w:asciiTheme="minorHAnsi" w:hAnsiTheme="minorHAnsi"/>
        </w:rPr>
        <w:t xml:space="preserve">eir </w:t>
      </w:r>
      <w:r w:rsidRPr="00C97223">
        <w:rPr>
          <w:rFonts w:asciiTheme="minorHAnsi" w:hAnsiTheme="minorHAnsi"/>
        </w:rPr>
        <w:t xml:space="preserve">supervisor to verify completion. </w:t>
      </w:r>
    </w:p>
    <w:p w:rsidR="0065159D" w:rsidRDefault="0065159D" w:rsidP="0065159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Praxis Exam/Endorsement:</w:t>
      </w:r>
    </w:p>
    <w:p w:rsidR="0065159D" w:rsidRPr="00F265A2" w:rsidRDefault="0065159D" w:rsidP="0065159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F265A2">
        <w:rPr>
          <w:rFonts w:asciiTheme="minorHAnsi" w:hAnsiTheme="minorHAnsi"/>
          <w:b/>
        </w:rPr>
        <w:t>Date of Exam:</w:t>
      </w:r>
    </w:p>
    <w:p w:rsidR="0065159D" w:rsidRDefault="0065159D" w:rsidP="0065159D">
      <w:pPr>
        <w:rPr>
          <w:rFonts w:asciiTheme="minorHAnsi" w:hAnsiTheme="minorHAnsi"/>
          <w:b/>
        </w:rPr>
      </w:pPr>
    </w:p>
    <w:p w:rsidR="0065159D" w:rsidRPr="00F265A2" w:rsidRDefault="0065159D" w:rsidP="0065159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F265A2">
        <w:rPr>
          <w:rFonts w:asciiTheme="minorHAnsi" w:hAnsiTheme="minorHAnsi"/>
          <w:b/>
        </w:rPr>
        <w:t>Attend a professional conference.</w:t>
      </w:r>
      <w:r w:rsidRPr="00F265A2">
        <w:rPr>
          <w:rFonts w:asciiTheme="minorHAnsi" w:hAnsiTheme="minorHAnsi"/>
        </w:rPr>
        <w:t xml:space="preserve"> Must be approved by supervisor, implemented in classroom, shared with team, etc.  Teachers </w:t>
      </w:r>
      <w:r>
        <w:rPr>
          <w:rFonts w:asciiTheme="minorHAnsi" w:hAnsiTheme="minorHAnsi"/>
        </w:rPr>
        <w:t xml:space="preserve">will send their supervisor </w:t>
      </w:r>
      <w:r w:rsidRPr="00F265A2">
        <w:rPr>
          <w:rFonts w:asciiTheme="minorHAnsi" w:hAnsiTheme="minorHAnsi"/>
        </w:rPr>
        <w:t xml:space="preserve">their certificate of attendance to verify completion. </w:t>
      </w:r>
    </w:p>
    <w:p w:rsidR="0065159D" w:rsidRPr="00DA1EB4" w:rsidRDefault="0065159D" w:rsidP="0065159D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Conference</w:t>
      </w:r>
      <w:r w:rsidRPr="00DA1EB4">
        <w:rPr>
          <w:rFonts w:asciiTheme="minorHAnsi" w:hAnsiTheme="minorHAnsi"/>
          <w:b/>
        </w:rPr>
        <w:t xml:space="preserve"> Title:</w:t>
      </w:r>
    </w:p>
    <w:p w:rsidR="0065159D" w:rsidRPr="00DA1EB4" w:rsidRDefault="0065159D" w:rsidP="0065159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A1EB4">
        <w:rPr>
          <w:rFonts w:asciiTheme="minorHAnsi" w:hAnsiTheme="minorHAnsi"/>
        </w:rPr>
        <w:t>Date:</w:t>
      </w:r>
    </w:p>
    <w:p w:rsidR="0065159D" w:rsidRPr="00DA1EB4" w:rsidRDefault="0065159D" w:rsidP="0065159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A1EB4">
        <w:rPr>
          <w:rFonts w:asciiTheme="minorHAnsi" w:hAnsiTheme="minorHAnsi"/>
        </w:rPr>
        <w:t>Time:</w:t>
      </w:r>
    </w:p>
    <w:p w:rsidR="0065159D" w:rsidRDefault="0065159D" w:rsidP="0065159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Evidence of Implementation</w:t>
      </w:r>
      <w:r w:rsidRPr="00DA1EB4">
        <w:rPr>
          <w:rFonts w:asciiTheme="minorHAnsi" w:hAnsiTheme="minorHAnsi"/>
        </w:rPr>
        <w:t>:</w:t>
      </w:r>
    </w:p>
    <w:p w:rsidR="0065159D" w:rsidRPr="00F265A2" w:rsidRDefault="0065159D" w:rsidP="0065159D">
      <w:pPr>
        <w:pStyle w:val="ListParagraph"/>
        <w:ind w:left="2520"/>
        <w:rPr>
          <w:rFonts w:asciiTheme="minorHAnsi" w:hAnsiTheme="minorHAnsi"/>
        </w:rPr>
      </w:pPr>
    </w:p>
    <w:p w:rsidR="0065159D" w:rsidRPr="00F265A2" w:rsidRDefault="0065159D" w:rsidP="0065159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F265A2">
        <w:rPr>
          <w:rFonts w:asciiTheme="minorHAnsi" w:hAnsiTheme="minorHAnsi"/>
          <w:b/>
        </w:rPr>
        <w:t>Other professional Growth Opportunity.</w:t>
      </w:r>
      <w:r>
        <w:rPr>
          <w:rFonts w:asciiTheme="minorHAnsi" w:hAnsiTheme="minorHAnsi"/>
        </w:rPr>
        <w:t xml:space="preserve">  </w:t>
      </w:r>
      <w:r w:rsidRPr="00F265A2">
        <w:rPr>
          <w:rFonts w:asciiTheme="minorHAnsi" w:hAnsiTheme="minorHAnsi"/>
        </w:rPr>
        <w:t xml:space="preserve">Must be approved by supervisor, implemented in classroom, shared with team, etc.  Teachers </w:t>
      </w:r>
      <w:r>
        <w:rPr>
          <w:rFonts w:asciiTheme="minorHAnsi" w:hAnsiTheme="minorHAnsi"/>
        </w:rPr>
        <w:t xml:space="preserve">will send their supervisor </w:t>
      </w:r>
      <w:r w:rsidRPr="00F265A2">
        <w:rPr>
          <w:rFonts w:asciiTheme="minorHAnsi" w:hAnsiTheme="minorHAnsi"/>
        </w:rPr>
        <w:t xml:space="preserve">their certificate of attendance to verify completion. </w:t>
      </w:r>
    </w:p>
    <w:p w:rsidR="0065159D" w:rsidRPr="00DA1EB4" w:rsidRDefault="0065159D" w:rsidP="0065159D">
      <w:pPr>
        <w:ind w:left="720" w:firstLine="720"/>
        <w:rPr>
          <w:rFonts w:asciiTheme="minorHAnsi" w:hAnsiTheme="minorHAnsi"/>
        </w:rPr>
      </w:pPr>
      <w:r w:rsidRPr="00DA1EB4">
        <w:rPr>
          <w:rFonts w:asciiTheme="minorHAnsi" w:hAnsiTheme="minorHAnsi"/>
          <w:b/>
        </w:rPr>
        <w:t>Title:</w:t>
      </w:r>
    </w:p>
    <w:p w:rsidR="0065159D" w:rsidRPr="00DA1EB4" w:rsidRDefault="0065159D" w:rsidP="0065159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A1EB4">
        <w:rPr>
          <w:rFonts w:asciiTheme="minorHAnsi" w:hAnsiTheme="minorHAnsi"/>
        </w:rPr>
        <w:t>Date:</w:t>
      </w:r>
    </w:p>
    <w:p w:rsidR="0065159D" w:rsidRPr="00DA1EB4" w:rsidRDefault="0065159D" w:rsidP="0065159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A1EB4">
        <w:rPr>
          <w:rFonts w:asciiTheme="minorHAnsi" w:hAnsiTheme="minorHAnsi"/>
        </w:rPr>
        <w:t>Time:</w:t>
      </w:r>
    </w:p>
    <w:p w:rsidR="0065159D" w:rsidRDefault="0065159D" w:rsidP="0065159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Evidence of Implementation</w:t>
      </w:r>
      <w:r w:rsidRPr="00DA1EB4">
        <w:rPr>
          <w:rFonts w:asciiTheme="minorHAnsi" w:hAnsiTheme="minorHAnsi"/>
        </w:rPr>
        <w:t>:</w:t>
      </w:r>
    </w:p>
    <w:p w:rsidR="00437E2A" w:rsidRDefault="00437E2A" w:rsidP="00437E2A">
      <w:pPr>
        <w:pStyle w:val="ListParagraph"/>
        <w:ind w:left="2520"/>
        <w:rPr>
          <w:rFonts w:asciiTheme="minorHAnsi" w:hAnsiTheme="minorHAnsi"/>
        </w:rPr>
      </w:pPr>
    </w:p>
    <w:p w:rsidR="0055682F" w:rsidRPr="003F290B" w:rsidRDefault="00A17917" w:rsidP="0055682F">
      <w:pPr>
        <w:pStyle w:val="ListParagraph"/>
        <w:numPr>
          <w:ilvl w:val="0"/>
          <w:numId w:val="14"/>
        </w:numPr>
      </w:pPr>
      <w:r w:rsidRPr="00A17917">
        <w:rPr>
          <w:rFonts w:asciiTheme="minorHAnsi" w:hAnsiTheme="minorHAnsi"/>
          <w:b/>
        </w:rPr>
        <w:t>Professional Growth Plan</w:t>
      </w:r>
      <w:r w:rsidR="000B7ADE" w:rsidRPr="00A17917">
        <w:rPr>
          <w:rFonts w:asciiTheme="minorHAnsi" w:hAnsiTheme="minorHAnsi"/>
          <w:b/>
        </w:rPr>
        <w:t xml:space="preserve"> (5%)</w:t>
      </w:r>
      <w:r w:rsidR="000B7ADE" w:rsidRPr="00A17917">
        <w:rPr>
          <w:rFonts w:asciiTheme="minorHAnsi" w:hAnsiTheme="minorHAnsi"/>
        </w:rPr>
        <w:t xml:space="preserve"> </w:t>
      </w:r>
      <w:r w:rsidRPr="00A17917">
        <w:rPr>
          <w:rFonts w:asciiTheme="minorHAnsi" w:hAnsiTheme="minorHAnsi"/>
        </w:rPr>
        <w:t xml:space="preserve">Teachers will set goals based on the Professional Growth Plan for UTVA.  </w:t>
      </w:r>
      <w:r>
        <w:rPr>
          <w:rFonts w:asciiTheme="minorHAnsi" w:hAnsiTheme="minorHAnsi"/>
        </w:rPr>
        <w:t xml:space="preserve">Payout will be based on meeting the goals set in the plan. Plan </w:t>
      </w:r>
      <w:r w:rsidR="000B7ADE" w:rsidRPr="00A17917">
        <w:rPr>
          <w:rFonts w:asciiTheme="minorHAnsi" w:hAnsiTheme="minorHAnsi"/>
        </w:rPr>
        <w:t>must be approved by the</w:t>
      </w:r>
      <w:r>
        <w:rPr>
          <w:rFonts w:asciiTheme="minorHAnsi" w:hAnsiTheme="minorHAnsi"/>
        </w:rPr>
        <w:t>ir supervisor by October 1, 2013</w:t>
      </w:r>
      <w:r w:rsidR="000B7ADE" w:rsidRPr="00A17917">
        <w:rPr>
          <w:rFonts w:asciiTheme="minorHAnsi" w:hAnsiTheme="minorHAnsi"/>
        </w:rPr>
        <w:t xml:space="preserve">.  </w:t>
      </w:r>
    </w:p>
    <w:p w:rsidR="003F290B" w:rsidRPr="00AC0D48" w:rsidRDefault="003F290B" w:rsidP="003F290B">
      <w:pPr>
        <w:pStyle w:val="ListParagraph"/>
        <w:ind w:left="990"/>
      </w:pPr>
    </w:p>
    <w:p w:rsidR="00A17917" w:rsidRPr="007D5026" w:rsidRDefault="00A17917" w:rsidP="00A17917">
      <w:pPr>
        <w:pStyle w:val="ListParagraph"/>
        <w:ind w:left="990"/>
      </w:pPr>
      <w:bookmarkStart w:id="0" w:name="_GoBack"/>
      <w:bookmarkEnd w:id="0"/>
    </w:p>
    <w:p w:rsidR="0055682F" w:rsidRDefault="0055682F" w:rsidP="0055682F">
      <w:r w:rsidRPr="006B6720">
        <w:t xml:space="preserve">* Please note that teachers will be responsible for tracking their own progress in completing goals as well as be responsible for submitting a report that includes full and detailed supporting documentation each semester. </w:t>
      </w:r>
    </w:p>
    <w:p w:rsidR="0055682F" w:rsidRPr="006B6720" w:rsidRDefault="0055682F" w:rsidP="0055682F"/>
    <w:p w:rsidR="0055682F" w:rsidRPr="006B6720" w:rsidRDefault="0055682F" w:rsidP="0055682F"/>
    <w:p w:rsidR="0055682F" w:rsidRPr="006B6720" w:rsidRDefault="0055682F" w:rsidP="0055682F">
      <w:r w:rsidRPr="006B6720">
        <w:t>Teacher Signature:_______________________________________  Date_______________</w:t>
      </w:r>
    </w:p>
    <w:p w:rsidR="0055682F" w:rsidRPr="006B6720" w:rsidRDefault="0055682F" w:rsidP="0055682F"/>
    <w:p w:rsidR="0055682F" w:rsidRPr="006B6720" w:rsidRDefault="0055682F" w:rsidP="0055682F">
      <w:r w:rsidRPr="006B6720">
        <w:t xml:space="preserve">Supervisor Signature:_____________________________________  Date_______________ </w:t>
      </w:r>
    </w:p>
    <w:p w:rsidR="0055682F" w:rsidRPr="006B6720" w:rsidRDefault="0055682F" w:rsidP="0055682F"/>
    <w:p w:rsidR="0055682F" w:rsidRPr="006B6720" w:rsidRDefault="0055682F" w:rsidP="0055682F"/>
    <w:p w:rsidR="0055682F" w:rsidRPr="00DA1EB4" w:rsidRDefault="0055682F" w:rsidP="00522801">
      <w:pPr>
        <w:rPr>
          <w:rFonts w:asciiTheme="minorHAnsi" w:hAnsiTheme="minorHAnsi"/>
          <w:b/>
          <w:sz w:val="28"/>
          <w:szCs w:val="28"/>
          <w:u w:val="single"/>
        </w:rPr>
      </w:pPr>
      <w:r w:rsidRPr="006B6720">
        <w:t xml:space="preserve">Notes: </w:t>
      </w:r>
    </w:p>
    <w:sectPr w:rsidR="0055682F" w:rsidRPr="00DA1EB4" w:rsidSect="009E2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BB"/>
    <w:multiLevelType w:val="hybridMultilevel"/>
    <w:tmpl w:val="3FC0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D3B28"/>
    <w:multiLevelType w:val="hybridMultilevel"/>
    <w:tmpl w:val="F39AF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71462CD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7A4A"/>
    <w:multiLevelType w:val="hybridMultilevel"/>
    <w:tmpl w:val="BCF8E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F7A"/>
    <w:multiLevelType w:val="hybridMultilevel"/>
    <w:tmpl w:val="CA326ADA"/>
    <w:lvl w:ilvl="0" w:tplc="5BE611A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C7C37"/>
    <w:multiLevelType w:val="hybridMultilevel"/>
    <w:tmpl w:val="AEF471D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5A1590"/>
    <w:multiLevelType w:val="hybridMultilevel"/>
    <w:tmpl w:val="EF984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4744D"/>
    <w:multiLevelType w:val="hybridMultilevel"/>
    <w:tmpl w:val="48DEE2D4"/>
    <w:lvl w:ilvl="0" w:tplc="DDF0C9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70D70"/>
    <w:multiLevelType w:val="hybridMultilevel"/>
    <w:tmpl w:val="080CF9EE"/>
    <w:lvl w:ilvl="0" w:tplc="5D38B1B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D40DBD"/>
    <w:multiLevelType w:val="hybridMultilevel"/>
    <w:tmpl w:val="D49E4FD2"/>
    <w:lvl w:ilvl="0" w:tplc="A5367326">
      <w:start w:val="2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028067C"/>
    <w:multiLevelType w:val="hybridMultilevel"/>
    <w:tmpl w:val="683678EC"/>
    <w:lvl w:ilvl="0" w:tplc="66E859E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6B2E"/>
    <w:multiLevelType w:val="hybridMultilevel"/>
    <w:tmpl w:val="05DC2842"/>
    <w:lvl w:ilvl="0" w:tplc="23BC6C2A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485103"/>
    <w:multiLevelType w:val="hybridMultilevel"/>
    <w:tmpl w:val="1280F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835E6"/>
    <w:multiLevelType w:val="hybridMultilevel"/>
    <w:tmpl w:val="8BB878FE"/>
    <w:lvl w:ilvl="0" w:tplc="68AAD8CC">
      <w:start w:val="1"/>
      <w:numFmt w:val="upperRoman"/>
      <w:lvlText w:val="%1."/>
      <w:lvlJc w:val="left"/>
      <w:pPr>
        <w:ind w:left="23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59FB3B4D"/>
    <w:multiLevelType w:val="hybridMultilevel"/>
    <w:tmpl w:val="CB1ECC6C"/>
    <w:lvl w:ilvl="0" w:tplc="C15A1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F14B2"/>
    <w:multiLevelType w:val="hybridMultilevel"/>
    <w:tmpl w:val="640CA946"/>
    <w:lvl w:ilvl="0" w:tplc="671C0086">
      <w:start w:val="1"/>
      <w:numFmt w:val="upp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5372E60"/>
    <w:multiLevelType w:val="hybridMultilevel"/>
    <w:tmpl w:val="3B2EA68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0A233F8"/>
    <w:multiLevelType w:val="hybridMultilevel"/>
    <w:tmpl w:val="9A6CB450"/>
    <w:lvl w:ilvl="0" w:tplc="99E698C0">
      <w:start w:val="1"/>
      <w:numFmt w:val="upperLetter"/>
      <w:lvlText w:val="%1."/>
      <w:lvlJc w:val="left"/>
      <w:pPr>
        <w:ind w:left="16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72381C6F"/>
    <w:multiLevelType w:val="hybridMultilevel"/>
    <w:tmpl w:val="2EC463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8CD244C"/>
    <w:multiLevelType w:val="hybridMultilevel"/>
    <w:tmpl w:val="757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18"/>
  </w:num>
  <w:num w:numId="10">
    <w:abstractNumId w:val="11"/>
  </w:num>
  <w:num w:numId="11">
    <w:abstractNumId w:val="4"/>
  </w:num>
  <w:num w:numId="12">
    <w:abstractNumId w:val="10"/>
  </w:num>
  <w:num w:numId="13">
    <w:abstractNumId w:val="16"/>
  </w:num>
  <w:num w:numId="14">
    <w:abstractNumId w:val="8"/>
  </w:num>
  <w:num w:numId="15">
    <w:abstractNumId w:val="14"/>
  </w:num>
  <w:num w:numId="16">
    <w:abstractNumId w:val="12"/>
  </w:num>
  <w:num w:numId="17">
    <w:abstractNumId w:val="6"/>
  </w:num>
  <w:num w:numId="18">
    <w:abstractNumId w:val="7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B5"/>
    <w:rsid w:val="00004822"/>
    <w:rsid w:val="00017EB5"/>
    <w:rsid w:val="000212F7"/>
    <w:rsid w:val="00031495"/>
    <w:rsid w:val="00036EB3"/>
    <w:rsid w:val="000562F3"/>
    <w:rsid w:val="00056C5A"/>
    <w:rsid w:val="000669BD"/>
    <w:rsid w:val="00073B8B"/>
    <w:rsid w:val="000803B6"/>
    <w:rsid w:val="00083B67"/>
    <w:rsid w:val="0008404C"/>
    <w:rsid w:val="0009787E"/>
    <w:rsid w:val="000B7ADE"/>
    <w:rsid w:val="000C623D"/>
    <w:rsid w:val="000D06E9"/>
    <w:rsid w:val="000D08C0"/>
    <w:rsid w:val="000D1F29"/>
    <w:rsid w:val="000D2938"/>
    <w:rsid w:val="000D3A95"/>
    <w:rsid w:val="000D4D04"/>
    <w:rsid w:val="000D7F3C"/>
    <w:rsid w:val="000E6155"/>
    <w:rsid w:val="000F125B"/>
    <w:rsid w:val="000F4300"/>
    <w:rsid w:val="000F7485"/>
    <w:rsid w:val="00101F61"/>
    <w:rsid w:val="00105C10"/>
    <w:rsid w:val="00141F22"/>
    <w:rsid w:val="00142BBF"/>
    <w:rsid w:val="001750CA"/>
    <w:rsid w:val="00181B90"/>
    <w:rsid w:val="001A0E0C"/>
    <w:rsid w:val="001A626C"/>
    <w:rsid w:val="001A7B69"/>
    <w:rsid w:val="001B3BBA"/>
    <w:rsid w:val="001B5E76"/>
    <w:rsid w:val="001B67DD"/>
    <w:rsid w:val="001C05AA"/>
    <w:rsid w:val="001C77DE"/>
    <w:rsid w:val="001D7F2F"/>
    <w:rsid w:val="001F2EDA"/>
    <w:rsid w:val="00202C31"/>
    <w:rsid w:val="00210593"/>
    <w:rsid w:val="00212D59"/>
    <w:rsid w:val="00213198"/>
    <w:rsid w:val="00232146"/>
    <w:rsid w:val="00235A32"/>
    <w:rsid w:val="002515EA"/>
    <w:rsid w:val="002563B9"/>
    <w:rsid w:val="00261A69"/>
    <w:rsid w:val="00261EA5"/>
    <w:rsid w:val="00280823"/>
    <w:rsid w:val="00290F0D"/>
    <w:rsid w:val="002B3139"/>
    <w:rsid w:val="002B5C7B"/>
    <w:rsid w:val="002B6DEE"/>
    <w:rsid w:val="002C4ED9"/>
    <w:rsid w:val="002C6538"/>
    <w:rsid w:val="002D3FA8"/>
    <w:rsid w:val="002D5EF5"/>
    <w:rsid w:val="002E6F38"/>
    <w:rsid w:val="002F2AD1"/>
    <w:rsid w:val="00310201"/>
    <w:rsid w:val="003206D3"/>
    <w:rsid w:val="00331DEE"/>
    <w:rsid w:val="0034002D"/>
    <w:rsid w:val="0034368A"/>
    <w:rsid w:val="00356E84"/>
    <w:rsid w:val="00383CFB"/>
    <w:rsid w:val="003849CE"/>
    <w:rsid w:val="00384A4F"/>
    <w:rsid w:val="00386F27"/>
    <w:rsid w:val="003A2825"/>
    <w:rsid w:val="003B1A71"/>
    <w:rsid w:val="003D48CB"/>
    <w:rsid w:val="003E2B98"/>
    <w:rsid w:val="003E3EF1"/>
    <w:rsid w:val="003F290B"/>
    <w:rsid w:val="003F52BD"/>
    <w:rsid w:val="003F5A82"/>
    <w:rsid w:val="003F7262"/>
    <w:rsid w:val="0040548A"/>
    <w:rsid w:val="004060D1"/>
    <w:rsid w:val="00413471"/>
    <w:rsid w:val="00415553"/>
    <w:rsid w:val="004177AB"/>
    <w:rsid w:val="004348C7"/>
    <w:rsid w:val="00437E2A"/>
    <w:rsid w:val="00447C62"/>
    <w:rsid w:val="0045259A"/>
    <w:rsid w:val="00462419"/>
    <w:rsid w:val="004713CF"/>
    <w:rsid w:val="00474865"/>
    <w:rsid w:val="0049035B"/>
    <w:rsid w:val="004B226E"/>
    <w:rsid w:val="004B306F"/>
    <w:rsid w:val="004B7B6F"/>
    <w:rsid w:val="004D2D28"/>
    <w:rsid w:val="004D5A0E"/>
    <w:rsid w:val="004E3283"/>
    <w:rsid w:val="004E4BDC"/>
    <w:rsid w:val="004E5E92"/>
    <w:rsid w:val="004F315E"/>
    <w:rsid w:val="004F4CB3"/>
    <w:rsid w:val="004F56FF"/>
    <w:rsid w:val="00500BEB"/>
    <w:rsid w:val="0051502E"/>
    <w:rsid w:val="00522801"/>
    <w:rsid w:val="005276F8"/>
    <w:rsid w:val="00536748"/>
    <w:rsid w:val="00546765"/>
    <w:rsid w:val="00547F12"/>
    <w:rsid w:val="00551EED"/>
    <w:rsid w:val="0055627C"/>
    <w:rsid w:val="0055682F"/>
    <w:rsid w:val="00575C66"/>
    <w:rsid w:val="00577F3D"/>
    <w:rsid w:val="0058005F"/>
    <w:rsid w:val="00587B30"/>
    <w:rsid w:val="005B0595"/>
    <w:rsid w:val="005C16E9"/>
    <w:rsid w:val="005D0C99"/>
    <w:rsid w:val="005D4314"/>
    <w:rsid w:val="005D6144"/>
    <w:rsid w:val="005E17B9"/>
    <w:rsid w:val="005E6920"/>
    <w:rsid w:val="006036F1"/>
    <w:rsid w:val="00603D24"/>
    <w:rsid w:val="00617FF5"/>
    <w:rsid w:val="00627EC6"/>
    <w:rsid w:val="006339FD"/>
    <w:rsid w:val="006456F4"/>
    <w:rsid w:val="0065159D"/>
    <w:rsid w:val="0065247C"/>
    <w:rsid w:val="00654ED0"/>
    <w:rsid w:val="00664360"/>
    <w:rsid w:val="006729D3"/>
    <w:rsid w:val="006816EA"/>
    <w:rsid w:val="00687976"/>
    <w:rsid w:val="006879C9"/>
    <w:rsid w:val="006A1815"/>
    <w:rsid w:val="006A38C6"/>
    <w:rsid w:val="006A6952"/>
    <w:rsid w:val="006B126E"/>
    <w:rsid w:val="006B58E5"/>
    <w:rsid w:val="006D6289"/>
    <w:rsid w:val="006E0C80"/>
    <w:rsid w:val="006E517E"/>
    <w:rsid w:val="006F2A48"/>
    <w:rsid w:val="006F4F67"/>
    <w:rsid w:val="006F6C4C"/>
    <w:rsid w:val="007031ED"/>
    <w:rsid w:val="00705359"/>
    <w:rsid w:val="00705E81"/>
    <w:rsid w:val="00705FF8"/>
    <w:rsid w:val="00706364"/>
    <w:rsid w:val="007147D8"/>
    <w:rsid w:val="00715114"/>
    <w:rsid w:val="00715B19"/>
    <w:rsid w:val="007271D5"/>
    <w:rsid w:val="007313C5"/>
    <w:rsid w:val="007331AF"/>
    <w:rsid w:val="00741685"/>
    <w:rsid w:val="00755693"/>
    <w:rsid w:val="007854D6"/>
    <w:rsid w:val="007971AB"/>
    <w:rsid w:val="00797685"/>
    <w:rsid w:val="007A086B"/>
    <w:rsid w:val="007A4797"/>
    <w:rsid w:val="007A6FE5"/>
    <w:rsid w:val="007B3409"/>
    <w:rsid w:val="007C3464"/>
    <w:rsid w:val="007C3FD2"/>
    <w:rsid w:val="007D5026"/>
    <w:rsid w:val="007D595D"/>
    <w:rsid w:val="007D61F4"/>
    <w:rsid w:val="007E03B2"/>
    <w:rsid w:val="007F0D05"/>
    <w:rsid w:val="007F2441"/>
    <w:rsid w:val="0080565D"/>
    <w:rsid w:val="00815903"/>
    <w:rsid w:val="00840860"/>
    <w:rsid w:val="00842C27"/>
    <w:rsid w:val="00871A62"/>
    <w:rsid w:val="00891F11"/>
    <w:rsid w:val="008959E0"/>
    <w:rsid w:val="0089662B"/>
    <w:rsid w:val="008A60E7"/>
    <w:rsid w:val="008C31A9"/>
    <w:rsid w:val="008C73F1"/>
    <w:rsid w:val="008D4478"/>
    <w:rsid w:val="008F43DC"/>
    <w:rsid w:val="008F486C"/>
    <w:rsid w:val="00915394"/>
    <w:rsid w:val="00917BCA"/>
    <w:rsid w:val="009352A8"/>
    <w:rsid w:val="00937967"/>
    <w:rsid w:val="0094179E"/>
    <w:rsid w:val="009531D4"/>
    <w:rsid w:val="00961C55"/>
    <w:rsid w:val="00965C29"/>
    <w:rsid w:val="00991064"/>
    <w:rsid w:val="009914DB"/>
    <w:rsid w:val="009B7405"/>
    <w:rsid w:val="009C4DB9"/>
    <w:rsid w:val="009C599C"/>
    <w:rsid w:val="009D26CF"/>
    <w:rsid w:val="009E2F56"/>
    <w:rsid w:val="009E7FD2"/>
    <w:rsid w:val="009F4E58"/>
    <w:rsid w:val="009F5AF7"/>
    <w:rsid w:val="00A061D9"/>
    <w:rsid w:val="00A1195A"/>
    <w:rsid w:val="00A15EE2"/>
    <w:rsid w:val="00A17917"/>
    <w:rsid w:val="00A21C8A"/>
    <w:rsid w:val="00A250E8"/>
    <w:rsid w:val="00A35DC2"/>
    <w:rsid w:val="00A518C7"/>
    <w:rsid w:val="00A54690"/>
    <w:rsid w:val="00A617E4"/>
    <w:rsid w:val="00A639D6"/>
    <w:rsid w:val="00A640B0"/>
    <w:rsid w:val="00A67CD8"/>
    <w:rsid w:val="00A71034"/>
    <w:rsid w:val="00A71AA5"/>
    <w:rsid w:val="00A75CE5"/>
    <w:rsid w:val="00A94C48"/>
    <w:rsid w:val="00A96786"/>
    <w:rsid w:val="00AA0306"/>
    <w:rsid w:val="00AB743F"/>
    <w:rsid w:val="00AC0D48"/>
    <w:rsid w:val="00AC3F1C"/>
    <w:rsid w:val="00AC7845"/>
    <w:rsid w:val="00AD059D"/>
    <w:rsid w:val="00AE5EF1"/>
    <w:rsid w:val="00AF145F"/>
    <w:rsid w:val="00AF347A"/>
    <w:rsid w:val="00AF3E83"/>
    <w:rsid w:val="00B01B9F"/>
    <w:rsid w:val="00B06DBB"/>
    <w:rsid w:val="00B13A95"/>
    <w:rsid w:val="00B27E60"/>
    <w:rsid w:val="00B332DF"/>
    <w:rsid w:val="00B41330"/>
    <w:rsid w:val="00B513C1"/>
    <w:rsid w:val="00B770D9"/>
    <w:rsid w:val="00B775AD"/>
    <w:rsid w:val="00B83756"/>
    <w:rsid w:val="00B8390B"/>
    <w:rsid w:val="00B84575"/>
    <w:rsid w:val="00B92ECA"/>
    <w:rsid w:val="00BA2ACE"/>
    <w:rsid w:val="00BA62AC"/>
    <w:rsid w:val="00BA7AAF"/>
    <w:rsid w:val="00BB7F48"/>
    <w:rsid w:val="00BC31F7"/>
    <w:rsid w:val="00BE203B"/>
    <w:rsid w:val="00BE788F"/>
    <w:rsid w:val="00C00FB2"/>
    <w:rsid w:val="00C02160"/>
    <w:rsid w:val="00C03C8E"/>
    <w:rsid w:val="00C11462"/>
    <w:rsid w:val="00C34715"/>
    <w:rsid w:val="00C42118"/>
    <w:rsid w:val="00C5195E"/>
    <w:rsid w:val="00C54A21"/>
    <w:rsid w:val="00C56EC9"/>
    <w:rsid w:val="00C57B9F"/>
    <w:rsid w:val="00C6645B"/>
    <w:rsid w:val="00C73037"/>
    <w:rsid w:val="00C83B44"/>
    <w:rsid w:val="00C904B8"/>
    <w:rsid w:val="00C93A88"/>
    <w:rsid w:val="00C97223"/>
    <w:rsid w:val="00CA0E2F"/>
    <w:rsid w:val="00CA2300"/>
    <w:rsid w:val="00CA2B45"/>
    <w:rsid w:val="00CB1365"/>
    <w:rsid w:val="00CB2BB4"/>
    <w:rsid w:val="00CC017E"/>
    <w:rsid w:val="00CC25D6"/>
    <w:rsid w:val="00CC4B1C"/>
    <w:rsid w:val="00CC4BF5"/>
    <w:rsid w:val="00CC5B1C"/>
    <w:rsid w:val="00CC7390"/>
    <w:rsid w:val="00CE0D7E"/>
    <w:rsid w:val="00CE3BD8"/>
    <w:rsid w:val="00CE7BAF"/>
    <w:rsid w:val="00CF08C3"/>
    <w:rsid w:val="00CF29E4"/>
    <w:rsid w:val="00CF30FE"/>
    <w:rsid w:val="00D0089D"/>
    <w:rsid w:val="00D00AD0"/>
    <w:rsid w:val="00D03771"/>
    <w:rsid w:val="00D06DD8"/>
    <w:rsid w:val="00D3538A"/>
    <w:rsid w:val="00D435E2"/>
    <w:rsid w:val="00D44175"/>
    <w:rsid w:val="00D50262"/>
    <w:rsid w:val="00D53D1D"/>
    <w:rsid w:val="00D6217D"/>
    <w:rsid w:val="00D6572B"/>
    <w:rsid w:val="00D845DB"/>
    <w:rsid w:val="00D915CD"/>
    <w:rsid w:val="00D924CD"/>
    <w:rsid w:val="00DA12DE"/>
    <w:rsid w:val="00DA1EB4"/>
    <w:rsid w:val="00DA43DE"/>
    <w:rsid w:val="00DB491A"/>
    <w:rsid w:val="00DD1B16"/>
    <w:rsid w:val="00DD25C6"/>
    <w:rsid w:val="00DE3766"/>
    <w:rsid w:val="00DE46EB"/>
    <w:rsid w:val="00DF078D"/>
    <w:rsid w:val="00DF1C2C"/>
    <w:rsid w:val="00DF500F"/>
    <w:rsid w:val="00DF7AB8"/>
    <w:rsid w:val="00E0657C"/>
    <w:rsid w:val="00E21EBD"/>
    <w:rsid w:val="00E33075"/>
    <w:rsid w:val="00E4470F"/>
    <w:rsid w:val="00E54448"/>
    <w:rsid w:val="00E54DB2"/>
    <w:rsid w:val="00E57A4B"/>
    <w:rsid w:val="00E61FC2"/>
    <w:rsid w:val="00E73FB0"/>
    <w:rsid w:val="00E7565E"/>
    <w:rsid w:val="00E86D3E"/>
    <w:rsid w:val="00E91E1A"/>
    <w:rsid w:val="00E94531"/>
    <w:rsid w:val="00EA6381"/>
    <w:rsid w:val="00EB0437"/>
    <w:rsid w:val="00EB3DE3"/>
    <w:rsid w:val="00ED4EA1"/>
    <w:rsid w:val="00ED5D7E"/>
    <w:rsid w:val="00F0008B"/>
    <w:rsid w:val="00F050EA"/>
    <w:rsid w:val="00F052FA"/>
    <w:rsid w:val="00F11560"/>
    <w:rsid w:val="00F246EB"/>
    <w:rsid w:val="00F259FB"/>
    <w:rsid w:val="00F265A2"/>
    <w:rsid w:val="00F268E8"/>
    <w:rsid w:val="00F277E3"/>
    <w:rsid w:val="00F27A51"/>
    <w:rsid w:val="00F30CA3"/>
    <w:rsid w:val="00F30DD2"/>
    <w:rsid w:val="00F40708"/>
    <w:rsid w:val="00F462F1"/>
    <w:rsid w:val="00F731A0"/>
    <w:rsid w:val="00F74933"/>
    <w:rsid w:val="00F76B83"/>
    <w:rsid w:val="00F9129B"/>
    <w:rsid w:val="00F91846"/>
    <w:rsid w:val="00F94747"/>
    <w:rsid w:val="00F96958"/>
    <w:rsid w:val="00F9769D"/>
    <w:rsid w:val="00FA2110"/>
    <w:rsid w:val="00FB26F7"/>
    <w:rsid w:val="00FD31BD"/>
    <w:rsid w:val="00FD59A5"/>
    <w:rsid w:val="00FD6A72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B27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E60"/>
    <w:rPr>
      <w:lang w:val="en-US" w:eastAsia="en-US" w:bidi="ar-SA"/>
    </w:rPr>
  </w:style>
  <w:style w:type="paragraph" w:styleId="BalloonText">
    <w:name w:val="Balloon Text"/>
    <w:basedOn w:val="Normal"/>
    <w:semiHidden/>
    <w:rsid w:val="00B27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359"/>
    <w:pPr>
      <w:ind w:left="720"/>
      <w:contextualSpacing/>
    </w:pPr>
  </w:style>
  <w:style w:type="table" w:styleId="TableGrid">
    <w:name w:val="Table Grid"/>
    <w:basedOn w:val="TableNormal"/>
    <w:uiPriority w:val="59"/>
    <w:rsid w:val="00A67C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D7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B27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E60"/>
    <w:rPr>
      <w:lang w:val="en-US" w:eastAsia="en-US" w:bidi="ar-SA"/>
    </w:rPr>
  </w:style>
  <w:style w:type="paragraph" w:styleId="BalloonText">
    <w:name w:val="Balloon Text"/>
    <w:basedOn w:val="Normal"/>
    <w:semiHidden/>
    <w:rsid w:val="00B27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359"/>
    <w:pPr>
      <w:ind w:left="720"/>
      <w:contextualSpacing/>
    </w:pPr>
  </w:style>
  <w:style w:type="table" w:styleId="TableGrid">
    <w:name w:val="Table Grid"/>
    <w:basedOn w:val="TableNormal"/>
    <w:uiPriority w:val="59"/>
    <w:rsid w:val="00A67C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D7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jj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jacque</dc:creator>
  <cp:lastModifiedBy>Meghan Merideth</cp:lastModifiedBy>
  <cp:revision>2</cp:revision>
  <cp:lastPrinted>2013-05-16T22:55:00Z</cp:lastPrinted>
  <dcterms:created xsi:type="dcterms:W3CDTF">2013-07-31T21:09:00Z</dcterms:created>
  <dcterms:modified xsi:type="dcterms:W3CDTF">2013-07-31T21:09:00Z</dcterms:modified>
</cp:coreProperties>
</file>